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9497"/>
      </w:tblGrid>
      <w:tr w:rsidR="006E5CE5" w:rsidTr="006612BF">
        <w:trPr>
          <w:trHeight w:val="324"/>
        </w:trPr>
        <w:tc>
          <w:tcPr>
            <w:tcW w:w="6096" w:type="dxa"/>
          </w:tcPr>
          <w:p w:rsidR="006E5CE5" w:rsidRPr="00657149" w:rsidRDefault="00657149" w:rsidP="00F05B41">
            <w:pPr>
              <w:spacing w:after="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Outline of possible ways in which Merlin Entertainments </w:t>
            </w:r>
            <w:r>
              <w:rPr>
                <w:b/>
                <w:i/>
              </w:rPr>
              <w:t>could</w:t>
            </w:r>
            <w:r>
              <w:rPr>
                <w:b/>
              </w:rPr>
              <w:t xml:space="preserve"> hold a competitive advantage</w:t>
            </w:r>
          </w:p>
        </w:tc>
        <w:tc>
          <w:tcPr>
            <w:tcW w:w="9497" w:type="dxa"/>
          </w:tcPr>
          <w:p w:rsidR="006E5CE5" w:rsidRPr="006612BF" w:rsidRDefault="00657149" w:rsidP="00F05B41">
            <w:pPr>
              <w:spacing w:after="0"/>
              <w:rPr>
                <w:b/>
              </w:rPr>
            </w:pPr>
            <w:r>
              <w:rPr>
                <w:b/>
              </w:rPr>
              <w:t xml:space="preserve">Analysis of the factors affecting the </w:t>
            </w:r>
            <w:r w:rsidRPr="00657149">
              <w:rPr>
                <w:b/>
                <w:i/>
              </w:rPr>
              <w:t>ability</w:t>
            </w:r>
            <w:r>
              <w:rPr>
                <w:b/>
              </w:rPr>
              <w:t xml:space="preserve"> of Merlin Entertainments to hold a competitive advantage</w:t>
            </w:r>
          </w:p>
        </w:tc>
      </w:tr>
      <w:tr w:rsidR="00657149" w:rsidTr="006612BF">
        <w:trPr>
          <w:trHeight w:val="3277"/>
        </w:trPr>
        <w:tc>
          <w:tcPr>
            <w:tcW w:w="6096" w:type="dxa"/>
          </w:tcPr>
          <w:p w:rsidR="00657149" w:rsidRPr="006E5CE5" w:rsidRDefault="00657149" w:rsidP="008C2807">
            <w:r>
              <w:t>First possible competitive advantage</w:t>
            </w:r>
          </w:p>
        </w:tc>
        <w:tc>
          <w:tcPr>
            <w:tcW w:w="9497" w:type="dxa"/>
            <w:vMerge w:val="restart"/>
          </w:tcPr>
          <w:p w:rsidR="00657149" w:rsidRPr="006E5CE5" w:rsidRDefault="00657149" w:rsidP="008C2807"/>
        </w:tc>
      </w:tr>
      <w:tr w:rsidR="00657149" w:rsidTr="006612BF">
        <w:trPr>
          <w:trHeight w:val="3277"/>
        </w:trPr>
        <w:tc>
          <w:tcPr>
            <w:tcW w:w="6096" w:type="dxa"/>
          </w:tcPr>
          <w:p w:rsidR="00657149" w:rsidRPr="006E5CE5" w:rsidRDefault="00657149" w:rsidP="008C2807">
            <w:r>
              <w:t>Second possible competitive advantage</w:t>
            </w:r>
          </w:p>
        </w:tc>
        <w:tc>
          <w:tcPr>
            <w:tcW w:w="9497" w:type="dxa"/>
            <w:vMerge/>
          </w:tcPr>
          <w:p w:rsidR="00657149" w:rsidRPr="006E5CE5" w:rsidRDefault="00657149" w:rsidP="008C2807"/>
        </w:tc>
      </w:tr>
      <w:tr w:rsidR="00657149" w:rsidTr="006612BF">
        <w:trPr>
          <w:trHeight w:val="3277"/>
        </w:trPr>
        <w:tc>
          <w:tcPr>
            <w:tcW w:w="6096" w:type="dxa"/>
          </w:tcPr>
          <w:p w:rsidR="00657149" w:rsidRPr="006E5CE5" w:rsidRDefault="00657149" w:rsidP="008C2807">
            <w:r>
              <w:t>Third possible competitive advantage</w:t>
            </w:r>
          </w:p>
        </w:tc>
        <w:tc>
          <w:tcPr>
            <w:tcW w:w="9497" w:type="dxa"/>
            <w:vMerge/>
          </w:tcPr>
          <w:p w:rsidR="00657149" w:rsidRPr="006E5CE5" w:rsidRDefault="00657149" w:rsidP="008C2807"/>
        </w:tc>
      </w:tr>
    </w:tbl>
    <w:p w:rsidR="00555E39" w:rsidRPr="00D3523B" w:rsidRDefault="00555E39" w:rsidP="00D3523B">
      <w:pPr>
        <w:tabs>
          <w:tab w:val="left" w:pos="1245"/>
        </w:tabs>
        <w:sectPr w:rsidR="00555E39" w:rsidRPr="00D3523B" w:rsidSect="006E5CE5">
          <w:headerReference w:type="default" r:id="rId7"/>
          <w:pgSz w:w="16838" w:h="11906" w:orient="landscape"/>
          <w:pgMar w:top="993" w:right="993" w:bottom="284" w:left="568" w:header="426" w:footer="447" w:gutter="0"/>
          <w:cols w:space="708"/>
          <w:docGrid w:linePitch="360"/>
        </w:sectPr>
      </w:pPr>
    </w:p>
    <w:p w:rsidR="00E87CF9" w:rsidRPr="006612BF" w:rsidRDefault="006612BF" w:rsidP="008C2807">
      <w:pPr>
        <w:rPr>
          <w:b/>
        </w:rPr>
      </w:pPr>
      <w:r>
        <w:rPr>
          <w:b/>
        </w:rPr>
        <w:lastRenderedPageBreak/>
        <w:t xml:space="preserve">Evaluation of the </w:t>
      </w:r>
      <w:r w:rsidR="00657149">
        <w:rPr>
          <w:b/>
          <w:i/>
        </w:rPr>
        <w:t>extent to which</w:t>
      </w:r>
      <w:r>
        <w:rPr>
          <w:b/>
        </w:rPr>
        <w:t xml:space="preserve"> Merlin Entertainments’ </w:t>
      </w:r>
      <w:r w:rsidR="00657149">
        <w:rPr>
          <w:b/>
        </w:rPr>
        <w:t>holds a competitive advantage</w:t>
      </w:r>
    </w:p>
    <w:p w:rsidR="00F05B41" w:rsidRPr="00F05B41" w:rsidRDefault="00F05B41" w:rsidP="008C2807"/>
    <w:p w:rsidR="00E87CF9" w:rsidRPr="00E87CF9" w:rsidRDefault="00E87CF9" w:rsidP="008C2807"/>
    <w:sectPr w:rsidR="00E87CF9" w:rsidRPr="00E87CF9" w:rsidSect="00D3523B">
      <w:pgSz w:w="11906" w:h="16838"/>
      <w:pgMar w:top="1135" w:right="284" w:bottom="1440" w:left="993" w:header="426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D9" w:rsidRDefault="00E77BD9" w:rsidP="009E5641">
      <w:pPr>
        <w:spacing w:after="0" w:line="240" w:lineRule="auto"/>
      </w:pPr>
      <w:r>
        <w:separator/>
      </w:r>
    </w:p>
  </w:endnote>
  <w:endnote w:type="continuationSeparator" w:id="0">
    <w:p w:rsidR="00E77BD9" w:rsidRDefault="00E77BD9" w:rsidP="009E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D9" w:rsidRDefault="00E77BD9" w:rsidP="009E5641">
      <w:pPr>
        <w:spacing w:after="0" w:line="240" w:lineRule="auto"/>
      </w:pPr>
      <w:r>
        <w:separator/>
      </w:r>
    </w:p>
  </w:footnote>
  <w:footnote w:type="continuationSeparator" w:id="0">
    <w:p w:rsidR="00E77BD9" w:rsidRDefault="00E77BD9" w:rsidP="009E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41" w:rsidRPr="009E5641" w:rsidRDefault="003F0F9F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Business Dynamics: </w:t>
    </w:r>
    <w:r w:rsidR="00657149">
      <w:rPr>
        <w:b/>
        <w:sz w:val="28"/>
        <w:szCs w:val="28"/>
      </w:rPr>
      <w:t>Competitive advantage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41"/>
    <w:rsid w:val="000B644F"/>
    <w:rsid w:val="000E349C"/>
    <w:rsid w:val="00133B98"/>
    <w:rsid w:val="00153F59"/>
    <w:rsid w:val="001B54B4"/>
    <w:rsid w:val="001F6E29"/>
    <w:rsid w:val="0024668D"/>
    <w:rsid w:val="002F3AF0"/>
    <w:rsid w:val="003D7E31"/>
    <w:rsid w:val="003F0F9F"/>
    <w:rsid w:val="00553E7A"/>
    <w:rsid w:val="00555E39"/>
    <w:rsid w:val="005C637B"/>
    <w:rsid w:val="00657149"/>
    <w:rsid w:val="006612BF"/>
    <w:rsid w:val="006E5CE5"/>
    <w:rsid w:val="007A7CAC"/>
    <w:rsid w:val="008C2807"/>
    <w:rsid w:val="009B7516"/>
    <w:rsid w:val="009D7D93"/>
    <w:rsid w:val="009E5641"/>
    <w:rsid w:val="00AA3BA5"/>
    <w:rsid w:val="00D3523B"/>
    <w:rsid w:val="00D9464A"/>
    <w:rsid w:val="00E01DD5"/>
    <w:rsid w:val="00E77BD9"/>
    <w:rsid w:val="00E87CF9"/>
    <w:rsid w:val="00F05B41"/>
    <w:rsid w:val="00F06129"/>
    <w:rsid w:val="00F22E41"/>
    <w:rsid w:val="00F7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41"/>
  </w:style>
  <w:style w:type="paragraph" w:styleId="Footer">
    <w:name w:val="footer"/>
    <w:basedOn w:val="Normal"/>
    <w:link w:val="FooterChar"/>
    <w:uiPriority w:val="99"/>
    <w:unhideWhenUsed/>
    <w:rsid w:val="009E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41"/>
  </w:style>
  <w:style w:type="paragraph" w:styleId="BalloonText">
    <w:name w:val="Balloon Text"/>
    <w:basedOn w:val="Normal"/>
    <w:link w:val="BalloonTextChar"/>
    <w:uiPriority w:val="99"/>
    <w:semiHidden/>
    <w:unhideWhenUsed/>
    <w:rsid w:val="0055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41"/>
  </w:style>
  <w:style w:type="paragraph" w:styleId="Footer">
    <w:name w:val="footer"/>
    <w:basedOn w:val="Normal"/>
    <w:link w:val="FooterChar"/>
    <w:uiPriority w:val="99"/>
    <w:unhideWhenUsed/>
    <w:rsid w:val="009E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41"/>
  </w:style>
  <w:style w:type="paragraph" w:styleId="BalloonText">
    <w:name w:val="Balloon Text"/>
    <w:basedOn w:val="Normal"/>
    <w:link w:val="BalloonTextChar"/>
    <w:uiPriority w:val="99"/>
    <w:semiHidden/>
    <w:unhideWhenUsed/>
    <w:rsid w:val="0055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4092E6F0.dotm</Template>
  <TotalTime>1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Dynamics: Competitive advantage</dc:title>
  <dc:creator>AQA</dc:creator>
  <cp:lastPrinted>2016-01-15T07:17:00Z</cp:lastPrinted>
  <dcterms:created xsi:type="dcterms:W3CDTF">2016-04-27T14:26:00Z</dcterms:created>
  <dcterms:modified xsi:type="dcterms:W3CDTF">2019-09-10T14:36:00Z</dcterms:modified>
</cp:coreProperties>
</file>