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8080"/>
      </w:tblGrid>
      <w:tr w:rsidR="00492D97" w:rsidTr="00492D97">
        <w:trPr>
          <w:trHeight w:val="330"/>
        </w:trPr>
        <w:tc>
          <w:tcPr>
            <w:tcW w:w="7513" w:type="dxa"/>
          </w:tcPr>
          <w:p w:rsidR="00492D97" w:rsidRPr="00492D97" w:rsidRDefault="00492D97">
            <w:pPr>
              <w:rPr>
                <w:b/>
              </w:rPr>
            </w:pPr>
            <w:r w:rsidRPr="00492D97">
              <w:rPr>
                <w:b/>
              </w:rPr>
              <w:t xml:space="preserve">Market opportunities </w:t>
            </w:r>
            <w:r>
              <w:rPr>
                <w:b/>
              </w:rPr>
              <w:t>for Merlin Entertainments</w:t>
            </w:r>
          </w:p>
        </w:tc>
        <w:tc>
          <w:tcPr>
            <w:tcW w:w="8080" w:type="dxa"/>
          </w:tcPr>
          <w:p w:rsidR="00492D97" w:rsidRPr="00492D97" w:rsidRDefault="00492D97">
            <w:pPr>
              <w:rPr>
                <w:b/>
              </w:rPr>
            </w:pPr>
            <w:r w:rsidRPr="00492D97">
              <w:rPr>
                <w:b/>
              </w:rPr>
              <w:t>Outline of benefits to Merlin Entertainments of using visions statements and aims</w:t>
            </w:r>
          </w:p>
        </w:tc>
      </w:tr>
      <w:tr w:rsidR="00492D97" w:rsidTr="00492D97">
        <w:trPr>
          <w:trHeight w:val="4515"/>
        </w:trPr>
        <w:tc>
          <w:tcPr>
            <w:tcW w:w="7513" w:type="dxa"/>
          </w:tcPr>
          <w:p w:rsidR="00492D97" w:rsidRDefault="00492D97" w:rsidP="00492D97">
            <w:r>
              <w:t>Market opportunity 1</w:t>
            </w:r>
          </w:p>
        </w:tc>
        <w:tc>
          <w:tcPr>
            <w:tcW w:w="8080" w:type="dxa"/>
          </w:tcPr>
          <w:p w:rsidR="00492D97" w:rsidRDefault="00492D97">
            <w:r>
              <w:t>Vision statements</w:t>
            </w:r>
          </w:p>
        </w:tc>
      </w:tr>
      <w:tr w:rsidR="00492D97" w:rsidTr="00492D97">
        <w:trPr>
          <w:trHeight w:val="4965"/>
        </w:trPr>
        <w:tc>
          <w:tcPr>
            <w:tcW w:w="7513" w:type="dxa"/>
          </w:tcPr>
          <w:p w:rsidR="00492D97" w:rsidRDefault="00492D97">
            <w:r>
              <w:t>Market opportunity 2</w:t>
            </w:r>
          </w:p>
        </w:tc>
        <w:tc>
          <w:tcPr>
            <w:tcW w:w="8080" w:type="dxa"/>
          </w:tcPr>
          <w:p w:rsidR="00492D97" w:rsidRDefault="00492D97">
            <w:r>
              <w:t>Aims</w:t>
            </w:r>
          </w:p>
        </w:tc>
      </w:tr>
    </w:tbl>
    <w:p w:rsidR="00492D97" w:rsidRDefault="00492D97">
      <w:r>
        <w:br w:type="page"/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6"/>
        <w:gridCol w:w="8221"/>
      </w:tblGrid>
      <w:tr w:rsidR="00492D97" w:rsidTr="0028703B">
        <w:trPr>
          <w:trHeight w:val="132"/>
        </w:trPr>
        <w:tc>
          <w:tcPr>
            <w:tcW w:w="7656" w:type="dxa"/>
            <w:vAlign w:val="center"/>
          </w:tcPr>
          <w:p w:rsidR="00492D97" w:rsidRPr="00492D97" w:rsidRDefault="00492D97" w:rsidP="00492D9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Merlin Entertainments’ form of ownership and interests of four stakeholders</w:t>
            </w:r>
          </w:p>
        </w:tc>
        <w:tc>
          <w:tcPr>
            <w:tcW w:w="8221" w:type="dxa"/>
            <w:vAlign w:val="center"/>
          </w:tcPr>
          <w:p w:rsidR="00492D97" w:rsidRPr="000E349C" w:rsidRDefault="00492D97" w:rsidP="007A7CAC">
            <w:pPr>
              <w:spacing w:after="0"/>
              <w:jc w:val="center"/>
              <w:rPr>
                <w:i/>
              </w:rPr>
            </w:pPr>
            <w:r>
              <w:rPr>
                <w:b/>
              </w:rPr>
              <w:t>Explanation of factors determining Merlin Entertainments’ form of ownership</w:t>
            </w:r>
          </w:p>
        </w:tc>
      </w:tr>
      <w:tr w:rsidR="00492D97" w:rsidTr="0028703B">
        <w:trPr>
          <w:trHeight w:val="1799"/>
        </w:trPr>
        <w:tc>
          <w:tcPr>
            <w:tcW w:w="7656" w:type="dxa"/>
          </w:tcPr>
          <w:p w:rsidR="00492D97" w:rsidRPr="00492D97" w:rsidRDefault="00492D97" w:rsidP="000E349C">
            <w:r w:rsidRPr="00492D97">
              <w:t>Form of ownership</w:t>
            </w:r>
          </w:p>
        </w:tc>
        <w:tc>
          <w:tcPr>
            <w:tcW w:w="8221" w:type="dxa"/>
            <w:vMerge w:val="restart"/>
          </w:tcPr>
          <w:p w:rsidR="00492D97" w:rsidRPr="0028703B" w:rsidRDefault="0028703B" w:rsidP="000E349C">
            <w:r w:rsidRPr="0028703B">
              <w:t>Factor 1</w:t>
            </w:r>
          </w:p>
        </w:tc>
      </w:tr>
      <w:tr w:rsidR="00492D97" w:rsidTr="0028703B">
        <w:trPr>
          <w:trHeight w:val="1799"/>
        </w:trPr>
        <w:tc>
          <w:tcPr>
            <w:tcW w:w="7656" w:type="dxa"/>
          </w:tcPr>
          <w:p w:rsidR="00492D97" w:rsidRPr="00492D97" w:rsidRDefault="00492D97" w:rsidP="000E349C">
            <w:r>
              <w:t>Stakeholder 1 and interests</w:t>
            </w:r>
          </w:p>
        </w:tc>
        <w:tc>
          <w:tcPr>
            <w:tcW w:w="8221" w:type="dxa"/>
            <w:vMerge/>
          </w:tcPr>
          <w:p w:rsidR="00492D97" w:rsidRDefault="00492D97" w:rsidP="000E349C">
            <w:pPr>
              <w:rPr>
                <w:b/>
              </w:rPr>
            </w:pPr>
          </w:p>
        </w:tc>
      </w:tr>
      <w:tr w:rsidR="0028703B" w:rsidTr="0028703B">
        <w:trPr>
          <w:trHeight w:val="900"/>
        </w:trPr>
        <w:tc>
          <w:tcPr>
            <w:tcW w:w="7656" w:type="dxa"/>
            <w:vMerge w:val="restart"/>
          </w:tcPr>
          <w:p w:rsidR="0028703B" w:rsidRDefault="0028703B" w:rsidP="000E349C">
            <w:r>
              <w:t>Stakeholder 2 and interests</w:t>
            </w:r>
          </w:p>
        </w:tc>
        <w:tc>
          <w:tcPr>
            <w:tcW w:w="8221" w:type="dxa"/>
            <w:vMerge/>
          </w:tcPr>
          <w:p w:rsidR="0028703B" w:rsidRDefault="0028703B" w:rsidP="000E349C">
            <w:pPr>
              <w:rPr>
                <w:b/>
              </w:rPr>
            </w:pPr>
          </w:p>
        </w:tc>
      </w:tr>
      <w:tr w:rsidR="0028703B" w:rsidTr="0028703B">
        <w:trPr>
          <w:trHeight w:val="900"/>
        </w:trPr>
        <w:tc>
          <w:tcPr>
            <w:tcW w:w="7656" w:type="dxa"/>
            <w:vMerge/>
          </w:tcPr>
          <w:p w:rsidR="0028703B" w:rsidRDefault="0028703B" w:rsidP="000E349C"/>
        </w:tc>
        <w:tc>
          <w:tcPr>
            <w:tcW w:w="8221" w:type="dxa"/>
            <w:vMerge w:val="restart"/>
          </w:tcPr>
          <w:p w:rsidR="0028703B" w:rsidRPr="0028703B" w:rsidRDefault="0028703B" w:rsidP="000E349C">
            <w:r w:rsidRPr="0028703B">
              <w:t>Factor 2</w:t>
            </w:r>
          </w:p>
        </w:tc>
      </w:tr>
      <w:tr w:rsidR="00492D97" w:rsidTr="0028703B">
        <w:trPr>
          <w:trHeight w:val="1799"/>
        </w:trPr>
        <w:tc>
          <w:tcPr>
            <w:tcW w:w="7656" w:type="dxa"/>
          </w:tcPr>
          <w:p w:rsidR="00492D97" w:rsidRDefault="00492D97" w:rsidP="000E349C">
            <w:r>
              <w:t>Stakeholder 3 and interests</w:t>
            </w:r>
          </w:p>
        </w:tc>
        <w:tc>
          <w:tcPr>
            <w:tcW w:w="8221" w:type="dxa"/>
            <w:vMerge/>
          </w:tcPr>
          <w:p w:rsidR="00492D97" w:rsidRDefault="00492D97" w:rsidP="000E349C">
            <w:pPr>
              <w:rPr>
                <w:b/>
              </w:rPr>
            </w:pPr>
          </w:p>
        </w:tc>
      </w:tr>
      <w:tr w:rsidR="00492D97" w:rsidTr="0028703B">
        <w:trPr>
          <w:trHeight w:val="1799"/>
        </w:trPr>
        <w:tc>
          <w:tcPr>
            <w:tcW w:w="7656" w:type="dxa"/>
          </w:tcPr>
          <w:p w:rsidR="00492D97" w:rsidRDefault="00492D97" w:rsidP="000E349C">
            <w:r>
              <w:t>Stakeholder 4 and interests</w:t>
            </w:r>
          </w:p>
        </w:tc>
        <w:tc>
          <w:tcPr>
            <w:tcW w:w="8221" w:type="dxa"/>
            <w:vMerge/>
          </w:tcPr>
          <w:p w:rsidR="00492D97" w:rsidRDefault="00492D97" w:rsidP="000E349C">
            <w:pPr>
              <w:rPr>
                <w:b/>
              </w:rPr>
            </w:pPr>
          </w:p>
        </w:tc>
      </w:tr>
    </w:tbl>
    <w:p w:rsidR="00555E39" w:rsidRDefault="00555E39" w:rsidP="008C2807">
      <w:pPr>
        <w:sectPr w:rsidR="00555E39" w:rsidSect="000E3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40" w:bottom="284" w:left="1440" w:header="426" w:footer="447" w:gutter="0"/>
          <w:cols w:space="708"/>
          <w:docGrid w:linePitch="360"/>
        </w:sectPr>
      </w:pPr>
    </w:p>
    <w:p w:rsidR="008457E6" w:rsidRDefault="008457E6" w:rsidP="008C2807"/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9072"/>
      </w:tblGrid>
      <w:tr w:rsidR="008457E6" w:rsidTr="008457E6">
        <w:trPr>
          <w:trHeight w:val="480"/>
        </w:trPr>
        <w:tc>
          <w:tcPr>
            <w:tcW w:w="6805" w:type="dxa"/>
          </w:tcPr>
          <w:p w:rsidR="008457E6" w:rsidRPr="008457E6" w:rsidRDefault="008457E6" w:rsidP="008C2807">
            <w:pPr>
              <w:rPr>
                <w:b/>
              </w:rPr>
            </w:pPr>
            <w:r w:rsidRPr="008457E6">
              <w:rPr>
                <w:b/>
              </w:rPr>
              <w:t xml:space="preserve">Outline of </w:t>
            </w:r>
            <w:r>
              <w:rPr>
                <w:b/>
              </w:rPr>
              <w:t xml:space="preserve">the organisation of </w:t>
            </w:r>
            <w:r w:rsidRPr="008457E6">
              <w:rPr>
                <w:b/>
              </w:rPr>
              <w:t>Merlin Entertainments’ functional activities</w:t>
            </w:r>
          </w:p>
        </w:tc>
        <w:tc>
          <w:tcPr>
            <w:tcW w:w="9072" w:type="dxa"/>
          </w:tcPr>
          <w:p w:rsidR="008457E6" w:rsidRPr="008457E6" w:rsidRDefault="008457E6" w:rsidP="008C2807">
            <w:pPr>
              <w:rPr>
                <w:b/>
              </w:rPr>
            </w:pPr>
            <w:r w:rsidRPr="008457E6">
              <w:rPr>
                <w:b/>
              </w:rPr>
              <w:t>Explanation of factors affecting the organisation of Merlin Entertainments’ functional activities</w:t>
            </w:r>
          </w:p>
        </w:tc>
      </w:tr>
      <w:tr w:rsidR="008457E6" w:rsidTr="008457E6">
        <w:trPr>
          <w:trHeight w:val="4417"/>
        </w:trPr>
        <w:tc>
          <w:tcPr>
            <w:tcW w:w="6805" w:type="dxa"/>
            <w:vMerge w:val="restart"/>
          </w:tcPr>
          <w:p w:rsidR="008457E6" w:rsidRDefault="008457E6" w:rsidP="008C2807"/>
        </w:tc>
        <w:tc>
          <w:tcPr>
            <w:tcW w:w="9072" w:type="dxa"/>
          </w:tcPr>
          <w:p w:rsidR="008457E6" w:rsidRDefault="008457E6" w:rsidP="008C2807">
            <w:r>
              <w:t>Factor 1</w:t>
            </w:r>
          </w:p>
        </w:tc>
      </w:tr>
      <w:tr w:rsidR="008457E6" w:rsidTr="008457E6">
        <w:trPr>
          <w:trHeight w:val="4417"/>
        </w:trPr>
        <w:tc>
          <w:tcPr>
            <w:tcW w:w="6805" w:type="dxa"/>
            <w:vMerge/>
          </w:tcPr>
          <w:p w:rsidR="008457E6" w:rsidRDefault="008457E6" w:rsidP="008C2807"/>
        </w:tc>
        <w:tc>
          <w:tcPr>
            <w:tcW w:w="9072" w:type="dxa"/>
          </w:tcPr>
          <w:p w:rsidR="008457E6" w:rsidRDefault="008457E6" w:rsidP="008C2807">
            <w:r>
              <w:t>Factor 2</w:t>
            </w:r>
          </w:p>
        </w:tc>
      </w:tr>
    </w:tbl>
    <w:p w:rsidR="00E87CF9" w:rsidRPr="00E87CF9" w:rsidRDefault="00E87CF9" w:rsidP="008C2807"/>
    <w:sectPr w:rsidR="00E87CF9" w:rsidRPr="00E87CF9" w:rsidSect="008457E6">
      <w:pgSz w:w="16838" w:h="11906" w:orient="landscape"/>
      <w:pgMar w:top="993" w:right="1440" w:bottom="284" w:left="1440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AD" w:rsidRDefault="006F6FAD" w:rsidP="009E5641">
      <w:pPr>
        <w:spacing w:after="0" w:line="240" w:lineRule="auto"/>
      </w:pPr>
      <w:r>
        <w:separator/>
      </w:r>
    </w:p>
  </w:endnote>
  <w:endnote w:type="continuationSeparator" w:id="0">
    <w:p w:rsidR="006F6FAD" w:rsidRDefault="006F6FAD" w:rsidP="009E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F" w:rsidRDefault="00E45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F" w:rsidRDefault="00E45D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F" w:rsidRDefault="00E45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AD" w:rsidRDefault="006F6FAD" w:rsidP="009E5641">
      <w:pPr>
        <w:spacing w:after="0" w:line="240" w:lineRule="auto"/>
      </w:pPr>
      <w:r>
        <w:separator/>
      </w:r>
    </w:p>
  </w:footnote>
  <w:footnote w:type="continuationSeparator" w:id="0">
    <w:p w:rsidR="006F6FAD" w:rsidRDefault="006F6FAD" w:rsidP="009E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F" w:rsidRDefault="00E45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41" w:rsidRPr="009E5641" w:rsidRDefault="003F0F9F">
    <w:pPr>
      <w:pStyle w:val="Header"/>
      <w:rPr>
        <w:b/>
        <w:sz w:val="28"/>
        <w:szCs w:val="28"/>
      </w:rPr>
    </w:pPr>
    <w:bookmarkStart w:id="0" w:name="_GoBack"/>
    <w:r>
      <w:rPr>
        <w:b/>
        <w:sz w:val="28"/>
        <w:szCs w:val="28"/>
      </w:rPr>
      <w:t xml:space="preserve">Business Dynamics: </w:t>
    </w:r>
    <w:r w:rsidR="00492D97">
      <w:rPr>
        <w:b/>
        <w:sz w:val="28"/>
        <w:szCs w:val="28"/>
      </w:rPr>
      <w:t>Business organisation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F" w:rsidRDefault="00E45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41"/>
    <w:rsid w:val="000B644F"/>
    <w:rsid w:val="000E349C"/>
    <w:rsid w:val="0012439B"/>
    <w:rsid w:val="00153F59"/>
    <w:rsid w:val="001B54B4"/>
    <w:rsid w:val="0028703B"/>
    <w:rsid w:val="002F3AF0"/>
    <w:rsid w:val="003D7E31"/>
    <w:rsid w:val="003F0F9F"/>
    <w:rsid w:val="00492D97"/>
    <w:rsid w:val="00555E39"/>
    <w:rsid w:val="006F6FAD"/>
    <w:rsid w:val="007A7CAC"/>
    <w:rsid w:val="008457E6"/>
    <w:rsid w:val="008C2807"/>
    <w:rsid w:val="009B7516"/>
    <w:rsid w:val="009D7D93"/>
    <w:rsid w:val="009E5641"/>
    <w:rsid w:val="00AA3BA5"/>
    <w:rsid w:val="00B67704"/>
    <w:rsid w:val="00D9464A"/>
    <w:rsid w:val="00E45D5F"/>
    <w:rsid w:val="00E87CF9"/>
    <w:rsid w:val="00F2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41"/>
  </w:style>
  <w:style w:type="paragraph" w:styleId="Footer">
    <w:name w:val="footer"/>
    <w:basedOn w:val="Normal"/>
    <w:link w:val="FooterChar"/>
    <w:uiPriority w:val="99"/>
    <w:unhideWhenUsed/>
    <w:rsid w:val="009E5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41"/>
  </w:style>
  <w:style w:type="paragraph" w:styleId="BalloonText">
    <w:name w:val="Balloon Text"/>
    <w:basedOn w:val="Normal"/>
    <w:link w:val="BalloonTextChar"/>
    <w:uiPriority w:val="99"/>
    <w:semiHidden/>
    <w:unhideWhenUsed/>
    <w:rsid w:val="0055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615A534.dotm</Template>
  <TotalTime>2</TotalTime>
  <Pages>5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Dynamics: Business organisation</dc:title>
  <dc:creator>AQA</dc:creator>
  <cp:lastPrinted>2016-01-15T07:17:00Z</cp:lastPrinted>
  <dcterms:created xsi:type="dcterms:W3CDTF">2016-04-27T14:22:00Z</dcterms:created>
  <dcterms:modified xsi:type="dcterms:W3CDTF">2019-09-16T14:13:00Z</dcterms:modified>
</cp:coreProperties>
</file>