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FB56B" w14:textId="4838EBC4" w:rsidR="00B72D87" w:rsidRDefault="00EA23CB" w:rsidP="00B72D87">
      <w:pPr>
        <w:rPr>
          <w:highlight w:val="lightGray"/>
        </w:rPr>
      </w:pPr>
      <w:r w:rsidRPr="00EA23CB">
        <w:rPr>
          <w:noProof/>
          <w:lang w:val="en-GB" w:eastAsia="en-GB"/>
        </w:rPr>
        <w:drawing>
          <wp:inline distT="0" distB="0" distL="0" distR="0" wp14:anchorId="25333439" wp14:editId="19E38383">
            <wp:extent cx="2019935" cy="810895"/>
            <wp:effectExtent l="0" t="0" r="0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EF922" w14:textId="1ECB2944" w:rsidR="009159F8" w:rsidRDefault="00B72D87" w:rsidP="009159F8">
      <w:pPr>
        <w:pStyle w:val="Title"/>
      </w:pPr>
      <w:r>
        <w:t>Lesson plan</w:t>
      </w:r>
      <w:r w:rsidR="003A787D">
        <w:t>: Poverty/homelessness</w:t>
      </w:r>
    </w:p>
    <w:p w14:paraId="0D964CDD" w14:textId="0CC0A4C2" w:rsidR="00FF5BA9" w:rsidRPr="00625FA5" w:rsidRDefault="00FF5BA9" w:rsidP="00625FA5">
      <w:r w:rsidRPr="00625FA5">
        <w:t>Th</w:t>
      </w:r>
      <w:r w:rsidR="00B72D87" w:rsidRPr="00625FA5">
        <w:t xml:space="preserve">is </w:t>
      </w:r>
      <w:r w:rsidR="00EA23CB">
        <w:t xml:space="preserve">resource is </w:t>
      </w:r>
      <w:r w:rsidR="00B72D87" w:rsidRPr="00625FA5">
        <w:t xml:space="preserve">a sample </w:t>
      </w:r>
      <w:r w:rsidR="00EA23CB">
        <w:t xml:space="preserve">lesson </w:t>
      </w:r>
      <w:r w:rsidR="00B72D87" w:rsidRPr="00625FA5">
        <w:t xml:space="preserve">plan </w:t>
      </w:r>
      <w:r w:rsidR="00BC1AF6">
        <w:t>based on the Poverty/homelessness topic in the G</w:t>
      </w:r>
      <w:r w:rsidR="003A787D">
        <w:t xml:space="preserve">CSE French specification (8658). You can adapt the plan to suit the needs of your students. </w:t>
      </w:r>
      <w:r w:rsidR="00F350CC" w:rsidRPr="00F350CC">
        <w:t>The vocabulary covered in this lesson plan is quite advanced and may be more suitable for students a</w:t>
      </w:r>
      <w:r w:rsidR="00F350CC">
        <w:t>iming at</w:t>
      </w:r>
      <w:r w:rsidR="00F350CC" w:rsidRPr="00F350CC">
        <w:t xml:space="preserve"> Higher</w:t>
      </w:r>
      <w:r w:rsidR="003C6747">
        <w:t xml:space="preserve"> Tier.</w:t>
      </w:r>
      <w:bookmarkStart w:id="0" w:name="_GoBack"/>
      <w:bookmarkEnd w:id="0"/>
    </w:p>
    <w:p w14:paraId="5A0F6704" w14:textId="0C1E60FA" w:rsidR="00B72D87" w:rsidRPr="00625FA5" w:rsidRDefault="00B72D87" w:rsidP="00625FA5">
      <w:r w:rsidRPr="00625FA5">
        <w:t xml:space="preserve">This sample </w:t>
      </w:r>
      <w:r w:rsidR="00625FA5" w:rsidRPr="00625FA5">
        <w:t xml:space="preserve">plan is for a lesson lasting </w:t>
      </w:r>
      <w:r w:rsidR="00CE0848">
        <w:t>45-55 minutes</w:t>
      </w:r>
      <w:r w:rsidRPr="00625FA5">
        <w:t>.</w:t>
      </w:r>
      <w:r w:rsidR="00F350CC" w:rsidRPr="00F350CC">
        <w:t xml:space="preserve"> </w:t>
      </w:r>
    </w:p>
    <w:p w14:paraId="1BEFEF27" w14:textId="77777777" w:rsidR="00FF5BA9" w:rsidRPr="00A15045" w:rsidRDefault="00B72D87" w:rsidP="008D1EFB">
      <w:pPr>
        <w:pStyle w:val="AQASectionTitle1"/>
        <w:rPr>
          <w:rStyle w:val="Italic"/>
          <w:i w:val="0"/>
        </w:rPr>
      </w:pPr>
      <w:r>
        <w:t>Learning objectives</w:t>
      </w:r>
    </w:p>
    <w:p w14:paraId="5EB677D1" w14:textId="7A9395A4" w:rsidR="00A15045" w:rsidRDefault="00A15045" w:rsidP="00625FA5">
      <w:pPr>
        <w:pStyle w:val="BulletList1"/>
      </w:pPr>
      <w:r>
        <w:t>To extend vocab</w:t>
      </w:r>
      <w:r w:rsidR="00625FA5">
        <w:t>ulary</w:t>
      </w:r>
      <w:r>
        <w:t xml:space="preserve"> related to poverty.</w:t>
      </w:r>
    </w:p>
    <w:p w14:paraId="191F862A" w14:textId="0AE0B11D" w:rsidR="00A15045" w:rsidRDefault="00A15045" w:rsidP="00625FA5">
      <w:pPr>
        <w:pStyle w:val="BulletList1"/>
      </w:pPr>
      <w:r>
        <w:t xml:space="preserve">To examine </w:t>
      </w:r>
      <w:r w:rsidR="00625FA5">
        <w:t xml:space="preserve">the </w:t>
      </w:r>
      <w:r>
        <w:t>causes and effects of poverty.</w:t>
      </w:r>
    </w:p>
    <w:p w14:paraId="696AA8AF" w14:textId="77777777" w:rsidR="00A15045" w:rsidRPr="00A15045" w:rsidRDefault="00221ABB" w:rsidP="00625FA5">
      <w:pPr>
        <w:pStyle w:val="BulletList1"/>
      </w:pPr>
      <w:r>
        <w:t xml:space="preserve">To use </w:t>
      </w:r>
      <w:proofErr w:type="spellStart"/>
      <w:proofErr w:type="gramStart"/>
      <w:r w:rsidRPr="00625FA5">
        <w:rPr>
          <w:rStyle w:val="Italic"/>
        </w:rPr>
        <w:t>il</w:t>
      </w:r>
      <w:proofErr w:type="spellEnd"/>
      <w:proofErr w:type="gramEnd"/>
      <w:r w:rsidRPr="00625FA5">
        <w:rPr>
          <w:rStyle w:val="Italic"/>
        </w:rPr>
        <w:t xml:space="preserve"> </w:t>
      </w:r>
      <w:proofErr w:type="spellStart"/>
      <w:r w:rsidRPr="00625FA5">
        <w:rPr>
          <w:rStyle w:val="Italic"/>
        </w:rPr>
        <w:t>faut</w:t>
      </w:r>
      <w:proofErr w:type="spellEnd"/>
      <w:r>
        <w:t xml:space="preserve"> + infinitive.</w:t>
      </w:r>
    </w:p>
    <w:p w14:paraId="3BD640F4" w14:textId="77777777" w:rsidR="00B72D87" w:rsidRPr="00B72D87" w:rsidRDefault="00B72D87" w:rsidP="008D1EFB">
      <w:pPr>
        <w:pStyle w:val="AQASectionTitle1"/>
      </w:pPr>
      <w:r w:rsidRPr="00B72D87">
        <w:t>Lesson preparation</w:t>
      </w:r>
    </w:p>
    <w:p w14:paraId="68F754AA" w14:textId="72FAEA25" w:rsidR="00625FA5" w:rsidRDefault="00625FA5" w:rsidP="00625FA5">
      <w:pPr>
        <w:pStyle w:val="BulletList1"/>
      </w:pPr>
      <w:r>
        <w:t>PowerPoint slides</w:t>
      </w:r>
      <w:r w:rsidR="003A787D">
        <w:t>.</w:t>
      </w:r>
    </w:p>
    <w:p w14:paraId="2586A264" w14:textId="1EF5827B" w:rsidR="00B72D87" w:rsidRPr="00625FA5" w:rsidRDefault="00625FA5" w:rsidP="00625FA5">
      <w:pPr>
        <w:pStyle w:val="BulletList1"/>
      </w:pPr>
      <w:r>
        <w:t>Writing materials for students</w:t>
      </w:r>
      <w:r w:rsidR="003A787D">
        <w:t>.</w:t>
      </w:r>
    </w:p>
    <w:p w14:paraId="39109053" w14:textId="77777777" w:rsidR="00B72D87" w:rsidRDefault="00B72D87" w:rsidP="008D1EFB">
      <w:pPr>
        <w:pStyle w:val="AQASectionTitle1"/>
      </w:pPr>
      <w:r w:rsidRPr="00B72D87">
        <w:t>Activity</w:t>
      </w:r>
    </w:p>
    <w:tbl>
      <w:tblPr>
        <w:tblStyle w:val="LightList-Accent1"/>
        <w:tblW w:w="0" w:type="auto"/>
        <w:tblInd w:w="-8" w:type="dxa"/>
        <w:tblLook w:val="04A0" w:firstRow="1" w:lastRow="0" w:firstColumn="1" w:lastColumn="0" w:noHBand="0" w:noVBand="1"/>
      </w:tblPr>
      <w:tblGrid>
        <w:gridCol w:w="2139"/>
        <w:gridCol w:w="2186"/>
        <w:gridCol w:w="2170"/>
        <w:gridCol w:w="2035"/>
      </w:tblGrid>
      <w:tr w:rsidR="00B72D87" w:rsidRPr="00625D0C" w14:paraId="69A38D93" w14:textId="77777777" w:rsidTr="007B6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4B7D8A42" w14:textId="77777777" w:rsidR="00B72D87" w:rsidRPr="00625D0C" w:rsidRDefault="00B72D87" w:rsidP="00B72D8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Duration</w:t>
            </w:r>
          </w:p>
        </w:tc>
        <w:tc>
          <w:tcPr>
            <w:tcW w:w="2186" w:type="dxa"/>
          </w:tcPr>
          <w:p w14:paraId="2A2DD21B" w14:textId="77777777" w:rsidR="00B72D87" w:rsidRPr="00B72D87" w:rsidRDefault="00B72D87" w:rsidP="00FF5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B72D87">
              <w:rPr>
                <w:rFonts w:cs="Arial"/>
                <w:sz w:val="28"/>
                <w:szCs w:val="28"/>
              </w:rPr>
              <w:t>Activity</w:t>
            </w:r>
          </w:p>
        </w:tc>
        <w:tc>
          <w:tcPr>
            <w:tcW w:w="2170" w:type="dxa"/>
          </w:tcPr>
          <w:p w14:paraId="3AE21E44" w14:textId="77777777" w:rsidR="00B72D87" w:rsidRPr="00625D0C" w:rsidRDefault="00B72D87" w:rsidP="00FF5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Group size</w:t>
            </w:r>
          </w:p>
        </w:tc>
        <w:tc>
          <w:tcPr>
            <w:tcW w:w="2035" w:type="dxa"/>
          </w:tcPr>
          <w:p w14:paraId="0FAFE2FC" w14:textId="0E3EF94D" w:rsidR="00B72D87" w:rsidRPr="007B659B" w:rsidRDefault="00DC445B" w:rsidP="00FF5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7B659B">
              <w:rPr>
                <w:sz w:val="28"/>
                <w:szCs w:val="28"/>
              </w:rPr>
              <w:t xml:space="preserve">Learning </w:t>
            </w:r>
            <w:r w:rsidR="00B72D87" w:rsidRPr="007B659B">
              <w:rPr>
                <w:rFonts w:cs="Arial"/>
                <w:sz w:val="28"/>
                <w:szCs w:val="28"/>
              </w:rPr>
              <w:t>objective</w:t>
            </w:r>
          </w:p>
        </w:tc>
      </w:tr>
      <w:tr w:rsidR="00B72D87" w:rsidRPr="00625D0C" w14:paraId="5DFD99DD" w14:textId="77777777" w:rsidTr="007B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427B2ACD" w14:textId="1A5C50C5" w:rsidR="00B72D87" w:rsidRPr="00625FA5" w:rsidRDefault="00625FA5" w:rsidP="00625FA5">
            <w:r>
              <w:t>5 minutes (</w:t>
            </w:r>
            <w:r w:rsidR="00A15045" w:rsidRPr="00625FA5">
              <w:t>upon entering the class</w:t>
            </w:r>
            <w:r>
              <w:t>)</w:t>
            </w:r>
            <w:r w:rsidR="00A15045" w:rsidRPr="00625FA5">
              <w:t xml:space="preserve"> </w:t>
            </w:r>
          </w:p>
        </w:tc>
        <w:tc>
          <w:tcPr>
            <w:tcW w:w="2186" w:type="dxa"/>
          </w:tcPr>
          <w:p w14:paraId="0A25D19E" w14:textId="1BD2C44B" w:rsidR="00B72D87" w:rsidRPr="00625FA5" w:rsidRDefault="00A15045" w:rsidP="00625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5FA5">
              <w:t>Vocab</w:t>
            </w:r>
            <w:r w:rsidR="00625FA5" w:rsidRPr="00625FA5">
              <w:t>ulary</w:t>
            </w:r>
            <w:r w:rsidR="00625FA5">
              <w:t xml:space="preserve"> match</w:t>
            </w:r>
            <w:proofErr w:type="gramEnd"/>
            <w:r w:rsidR="00625FA5">
              <w:t xml:space="preserve"> up</w:t>
            </w:r>
            <w:r w:rsidR="007B659B">
              <w:t>.</w:t>
            </w:r>
          </w:p>
        </w:tc>
        <w:tc>
          <w:tcPr>
            <w:tcW w:w="2170" w:type="dxa"/>
          </w:tcPr>
          <w:p w14:paraId="67E75763" w14:textId="7FC13C82" w:rsidR="00B72D87" w:rsidRPr="00625FA5" w:rsidRDefault="00625FA5" w:rsidP="00625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or pairs</w:t>
            </w:r>
            <w:r w:rsidR="007B659B">
              <w:t>.</w:t>
            </w:r>
          </w:p>
        </w:tc>
        <w:tc>
          <w:tcPr>
            <w:tcW w:w="2035" w:type="dxa"/>
          </w:tcPr>
          <w:p w14:paraId="31106BA0" w14:textId="77777777" w:rsidR="00B72D87" w:rsidRPr="00B36933" w:rsidRDefault="00B72D87" w:rsidP="00FF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</w:p>
        </w:tc>
      </w:tr>
      <w:tr w:rsidR="00A15045" w:rsidRPr="00625D0C" w14:paraId="4DBB59E3" w14:textId="77777777" w:rsidTr="007B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65048AB9" w14:textId="62935208" w:rsidR="00A15045" w:rsidRPr="00625FA5" w:rsidRDefault="001759E6" w:rsidP="00625FA5">
            <w:r w:rsidRPr="00625FA5">
              <w:t xml:space="preserve">5-8 </w:t>
            </w:r>
            <w:r w:rsidR="00A15045" w:rsidRPr="00625FA5">
              <w:t>min</w:t>
            </w:r>
            <w:r w:rsidR="00625FA5">
              <w:t>ute</w:t>
            </w:r>
            <w:r w:rsidR="00A15045" w:rsidRPr="00625FA5">
              <w:t>s</w:t>
            </w:r>
          </w:p>
        </w:tc>
        <w:tc>
          <w:tcPr>
            <w:tcW w:w="2186" w:type="dxa"/>
          </w:tcPr>
          <w:p w14:paraId="7A4ADA6F" w14:textId="03F24B74" w:rsidR="00A15045" w:rsidRPr="00625FA5" w:rsidRDefault="00A15045" w:rsidP="00625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FA5">
              <w:t>In English</w:t>
            </w:r>
            <w:r w:rsidR="00625FA5" w:rsidRPr="00625FA5">
              <w:t xml:space="preserve"> </w:t>
            </w:r>
            <w:r w:rsidRPr="00625FA5">
              <w:t>- to discuss whether each item of vocab</w:t>
            </w:r>
            <w:r w:rsidR="00625FA5">
              <w:t>ulary</w:t>
            </w:r>
            <w:r w:rsidRPr="00625FA5">
              <w:t xml:space="preserve"> represents a cause or an effect of poverty</w:t>
            </w:r>
            <w:r w:rsidR="00625FA5">
              <w:t>, or both</w:t>
            </w:r>
            <w:r w:rsidR="007B659B">
              <w:t>.</w:t>
            </w:r>
          </w:p>
        </w:tc>
        <w:tc>
          <w:tcPr>
            <w:tcW w:w="2170" w:type="dxa"/>
          </w:tcPr>
          <w:p w14:paraId="24AABE80" w14:textId="333B45D2" w:rsidR="00A15045" w:rsidRPr="00625FA5" w:rsidRDefault="00A15045" w:rsidP="00625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FA5">
              <w:t>Class discussion</w:t>
            </w:r>
            <w:r w:rsidR="007B659B">
              <w:t>.</w:t>
            </w:r>
          </w:p>
        </w:tc>
        <w:tc>
          <w:tcPr>
            <w:tcW w:w="2035" w:type="dxa"/>
          </w:tcPr>
          <w:p w14:paraId="455AF6D0" w14:textId="06418D34" w:rsidR="00A15045" w:rsidRPr="00625FA5" w:rsidRDefault="00A15045" w:rsidP="00625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FA5">
              <w:t>To put the le</w:t>
            </w:r>
            <w:r w:rsidR="00625FA5">
              <w:t>sson into context for students</w:t>
            </w:r>
            <w:r w:rsidR="007B659B">
              <w:t>.</w:t>
            </w:r>
          </w:p>
        </w:tc>
      </w:tr>
      <w:tr w:rsidR="009C4FCE" w:rsidRPr="00625D0C" w14:paraId="3D1D6E3E" w14:textId="77777777" w:rsidTr="007B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27742884" w14:textId="48BEED26" w:rsidR="009C4FCE" w:rsidRPr="00625FA5" w:rsidRDefault="009C4FCE" w:rsidP="00625FA5">
            <w:r w:rsidRPr="00625FA5">
              <w:t>5 min</w:t>
            </w:r>
            <w:r w:rsidR="00625FA5">
              <w:t>ute</w:t>
            </w:r>
            <w:r w:rsidRPr="00625FA5">
              <w:t>s</w:t>
            </w:r>
          </w:p>
        </w:tc>
        <w:tc>
          <w:tcPr>
            <w:tcW w:w="2186" w:type="dxa"/>
          </w:tcPr>
          <w:p w14:paraId="2E431BA2" w14:textId="5E080955" w:rsidR="009C4FCE" w:rsidRPr="00625FA5" w:rsidRDefault="009C4FCE" w:rsidP="00625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FA5">
              <w:t>Examine the grammar point with students using the example on the P</w:t>
            </w:r>
            <w:r w:rsidR="00625FA5">
              <w:t>ower</w:t>
            </w:r>
            <w:r w:rsidRPr="00625FA5">
              <w:t>P</w:t>
            </w:r>
            <w:r w:rsidR="00625FA5">
              <w:t>oint slides</w:t>
            </w:r>
            <w:r w:rsidR="007B659B">
              <w:t>.</w:t>
            </w:r>
          </w:p>
        </w:tc>
        <w:tc>
          <w:tcPr>
            <w:tcW w:w="2170" w:type="dxa"/>
          </w:tcPr>
          <w:p w14:paraId="5F87DADC" w14:textId="755AF32B" w:rsidR="009C4FCE" w:rsidRPr="00625FA5" w:rsidRDefault="00625FA5" w:rsidP="00625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FA5">
              <w:t>As a class</w:t>
            </w:r>
            <w:r w:rsidR="007B659B">
              <w:t>.</w:t>
            </w:r>
          </w:p>
        </w:tc>
        <w:tc>
          <w:tcPr>
            <w:tcW w:w="2035" w:type="dxa"/>
          </w:tcPr>
          <w:p w14:paraId="79E40EEC" w14:textId="77777777" w:rsidR="009C4FCE" w:rsidRDefault="009C4FCE" w:rsidP="00FF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</w:p>
        </w:tc>
      </w:tr>
      <w:tr w:rsidR="00636539" w:rsidRPr="00625D0C" w14:paraId="582984AC" w14:textId="77777777" w:rsidTr="007B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2D1B19C4" w14:textId="17F4D926" w:rsidR="00636539" w:rsidRPr="00625FA5" w:rsidRDefault="001759E6" w:rsidP="00625FA5">
            <w:r w:rsidRPr="00625FA5">
              <w:lastRenderedPageBreak/>
              <w:t>5-8</w:t>
            </w:r>
            <w:r w:rsidR="00625FA5">
              <w:t xml:space="preserve"> </w:t>
            </w:r>
            <w:r w:rsidR="00636539" w:rsidRPr="00625FA5">
              <w:t>min</w:t>
            </w:r>
            <w:r w:rsidR="00625FA5">
              <w:t>ute</w:t>
            </w:r>
            <w:r w:rsidR="00636539" w:rsidRPr="00625FA5">
              <w:t>s</w:t>
            </w:r>
          </w:p>
        </w:tc>
        <w:tc>
          <w:tcPr>
            <w:tcW w:w="2186" w:type="dxa"/>
          </w:tcPr>
          <w:p w14:paraId="03B8347F" w14:textId="6A792C55" w:rsidR="00636539" w:rsidRPr="00625FA5" w:rsidRDefault="00127234" w:rsidP="00625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FA5">
              <w:t>2nd match up to provide additional vocab</w:t>
            </w:r>
            <w:r w:rsidR="00625FA5">
              <w:t>ulary</w:t>
            </w:r>
            <w:r w:rsidR="007B659B">
              <w:t>.</w:t>
            </w:r>
          </w:p>
        </w:tc>
        <w:tc>
          <w:tcPr>
            <w:tcW w:w="2170" w:type="dxa"/>
          </w:tcPr>
          <w:p w14:paraId="4CC299C5" w14:textId="45A69EEE" w:rsidR="00636539" w:rsidRPr="00625FA5" w:rsidRDefault="00636539" w:rsidP="00625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FA5">
              <w:t>Pairs or individual</w:t>
            </w:r>
            <w:r w:rsidR="007B659B">
              <w:t>.</w:t>
            </w:r>
          </w:p>
        </w:tc>
        <w:tc>
          <w:tcPr>
            <w:tcW w:w="2035" w:type="dxa"/>
          </w:tcPr>
          <w:p w14:paraId="6091E5CB" w14:textId="77777777" w:rsidR="00636539" w:rsidRDefault="00636539" w:rsidP="00FF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</w:p>
        </w:tc>
      </w:tr>
      <w:tr w:rsidR="00127234" w:rsidRPr="00625D0C" w14:paraId="49E20848" w14:textId="77777777" w:rsidTr="007B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4BD391DA" w14:textId="273B51F6" w:rsidR="00127234" w:rsidRPr="00625FA5" w:rsidRDefault="001759E6" w:rsidP="00625FA5">
            <w:r w:rsidRPr="00625FA5">
              <w:t>10 min</w:t>
            </w:r>
            <w:r w:rsidR="00625FA5">
              <w:t>ute</w:t>
            </w:r>
            <w:r w:rsidRPr="00625FA5">
              <w:t>s</w:t>
            </w:r>
          </w:p>
        </w:tc>
        <w:tc>
          <w:tcPr>
            <w:tcW w:w="2186" w:type="dxa"/>
          </w:tcPr>
          <w:p w14:paraId="0E8F2A18" w14:textId="7C4CEA3E" w:rsidR="00127234" w:rsidRDefault="001759E6" w:rsidP="00625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 xml:space="preserve">A </w:t>
            </w:r>
            <w:proofErr w:type="spellStart"/>
            <w:r>
              <w:rPr>
                <w:rStyle w:val="Italic"/>
              </w:rPr>
              <w:t>toi</w:t>
            </w:r>
            <w:proofErr w:type="spellEnd"/>
            <w:r w:rsidR="00625FA5">
              <w:rPr>
                <w:rStyle w:val="Italic"/>
              </w:rPr>
              <w:t xml:space="preserve"> </w:t>
            </w:r>
            <w:r w:rsidR="00625FA5" w:rsidRPr="00625FA5">
              <w:t>-</w:t>
            </w:r>
            <w:r w:rsidRPr="00625FA5">
              <w:t xml:space="preserve"> students are to make their own</w:t>
            </w:r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il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faut</w:t>
            </w:r>
            <w:proofErr w:type="spellEnd"/>
            <w:r w:rsidRPr="00625FA5">
              <w:t xml:space="preserve"> sentences using the examples </w:t>
            </w:r>
            <w:proofErr w:type="gramStart"/>
            <w:r w:rsidRPr="00625FA5">
              <w:t>given,</w:t>
            </w:r>
            <w:proofErr w:type="gramEnd"/>
            <w:r w:rsidRPr="00625FA5">
              <w:t xml:space="preserve"> or their own that they come up with</w:t>
            </w:r>
            <w:r w:rsidR="007B659B">
              <w:t>.</w:t>
            </w:r>
          </w:p>
        </w:tc>
        <w:tc>
          <w:tcPr>
            <w:tcW w:w="2170" w:type="dxa"/>
          </w:tcPr>
          <w:p w14:paraId="254EA2A7" w14:textId="242BF970" w:rsidR="00127234" w:rsidRPr="00625FA5" w:rsidRDefault="001759E6" w:rsidP="00625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FA5">
              <w:t>Pairs or individual</w:t>
            </w:r>
            <w:r w:rsidR="007B659B">
              <w:t>.</w:t>
            </w:r>
          </w:p>
        </w:tc>
        <w:tc>
          <w:tcPr>
            <w:tcW w:w="2035" w:type="dxa"/>
          </w:tcPr>
          <w:p w14:paraId="54C2A287" w14:textId="2DC34010" w:rsidR="00127234" w:rsidRPr="00625FA5" w:rsidRDefault="00E712CD" w:rsidP="00625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FA5">
              <w:t>Students should be able to demonstrate the use of new vocab</w:t>
            </w:r>
            <w:r w:rsidR="00625FA5" w:rsidRPr="00625FA5">
              <w:t>ulary</w:t>
            </w:r>
            <w:r w:rsidRPr="00625FA5">
              <w:t xml:space="preserve"> a</w:t>
            </w:r>
            <w:r w:rsidR="00625FA5">
              <w:t>nd the grammar point in writing</w:t>
            </w:r>
            <w:r w:rsidR="007B659B">
              <w:t>.</w:t>
            </w:r>
          </w:p>
        </w:tc>
      </w:tr>
      <w:tr w:rsidR="00E712CD" w:rsidRPr="00625D0C" w14:paraId="4DFAAD84" w14:textId="77777777" w:rsidTr="007B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7F6499EE" w14:textId="5FFF2CDA" w:rsidR="00E712CD" w:rsidRPr="00625FA5" w:rsidRDefault="00E712CD" w:rsidP="00625FA5">
            <w:r w:rsidRPr="00625FA5">
              <w:t>5-8</w:t>
            </w:r>
            <w:r w:rsidR="00625FA5">
              <w:t xml:space="preserve"> </w:t>
            </w:r>
            <w:r w:rsidRPr="00625FA5">
              <w:t>min</w:t>
            </w:r>
            <w:r w:rsidR="00625FA5">
              <w:t>ute</w:t>
            </w:r>
            <w:r w:rsidRPr="00625FA5">
              <w:t>s</w:t>
            </w:r>
          </w:p>
        </w:tc>
        <w:tc>
          <w:tcPr>
            <w:tcW w:w="2186" w:type="dxa"/>
          </w:tcPr>
          <w:p w14:paraId="45819765" w14:textId="367D8319" w:rsidR="00625FA5" w:rsidRDefault="00625FA5" w:rsidP="00625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Sharing of ideas</w:t>
            </w:r>
            <w:r w:rsidR="007B659B">
              <w:t>.</w:t>
            </w:r>
          </w:p>
          <w:p w14:paraId="01D1E665" w14:textId="081B3565" w:rsidR="00625FA5" w:rsidRDefault="00E712CD" w:rsidP="00625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FA5">
              <w:t>Work</w:t>
            </w:r>
            <w:r w:rsidR="00625FA5">
              <w:t xml:space="preserve"> on pronunciation of sentences</w:t>
            </w:r>
            <w:r w:rsidR="007B659B">
              <w:t>.</w:t>
            </w:r>
          </w:p>
          <w:p w14:paraId="51722F41" w14:textId="16DC18F8" w:rsidR="00E712CD" w:rsidRPr="00625FA5" w:rsidRDefault="00E712CD" w:rsidP="00625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FA5">
              <w:t>Repetition of vocab</w:t>
            </w:r>
            <w:r w:rsidR="00625FA5" w:rsidRPr="00625FA5">
              <w:t>ulary</w:t>
            </w:r>
            <w:r w:rsidR="007B659B">
              <w:t>.</w:t>
            </w:r>
          </w:p>
        </w:tc>
        <w:tc>
          <w:tcPr>
            <w:tcW w:w="2170" w:type="dxa"/>
          </w:tcPr>
          <w:p w14:paraId="248BAAC1" w14:textId="77777777" w:rsidR="00E712CD" w:rsidRPr="00625FA5" w:rsidRDefault="00E712CD" w:rsidP="00625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14:paraId="1D22754C" w14:textId="14B69B31" w:rsidR="00E712CD" w:rsidRPr="00625FA5" w:rsidRDefault="00E712CD" w:rsidP="00625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FA5">
              <w:t>Students should be able to demonstrate the use of new vocab</w:t>
            </w:r>
            <w:r w:rsidR="00625FA5" w:rsidRPr="00625FA5">
              <w:t>ulary</w:t>
            </w:r>
            <w:r w:rsidRPr="00625FA5">
              <w:t xml:space="preserve"> a</w:t>
            </w:r>
            <w:r w:rsidR="00625FA5" w:rsidRPr="00625FA5">
              <w:t>nd the grammar point in speech</w:t>
            </w:r>
            <w:r w:rsidR="007B659B">
              <w:t>.</w:t>
            </w:r>
          </w:p>
        </w:tc>
      </w:tr>
      <w:tr w:rsidR="00E712CD" w:rsidRPr="00625D0C" w14:paraId="6D3DA89D" w14:textId="77777777" w:rsidTr="007B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24DF70AE" w14:textId="5B689F14" w:rsidR="00E712CD" w:rsidRPr="00625FA5" w:rsidRDefault="00E712CD" w:rsidP="00625FA5">
            <w:r w:rsidRPr="00625FA5">
              <w:t>10 min</w:t>
            </w:r>
            <w:r w:rsidR="00625FA5">
              <w:t>ute</w:t>
            </w:r>
            <w:r w:rsidRPr="00625FA5">
              <w:t>s</w:t>
            </w:r>
          </w:p>
        </w:tc>
        <w:tc>
          <w:tcPr>
            <w:tcW w:w="2186" w:type="dxa"/>
          </w:tcPr>
          <w:p w14:paraId="2AF280E1" w14:textId="1BF14192" w:rsidR="00E712CD" w:rsidRPr="00625FA5" w:rsidRDefault="00E712CD" w:rsidP="00625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25FA5">
              <w:t>Noughts</w:t>
            </w:r>
            <w:proofErr w:type="spellEnd"/>
            <w:r w:rsidRPr="00625FA5">
              <w:t xml:space="preserve"> and crosses game</w:t>
            </w:r>
            <w:r w:rsidR="00625FA5" w:rsidRPr="00625FA5">
              <w:t xml:space="preserve"> </w:t>
            </w:r>
            <w:r w:rsidRPr="00625FA5">
              <w:t>- students are to create a sentence in order to be able to put</w:t>
            </w:r>
            <w:r w:rsidR="00625FA5" w:rsidRPr="00625FA5">
              <w:t xml:space="preserve"> a symbol on the desired square</w:t>
            </w:r>
            <w:r w:rsidR="007B659B">
              <w:t>.</w:t>
            </w:r>
          </w:p>
        </w:tc>
        <w:tc>
          <w:tcPr>
            <w:tcW w:w="2170" w:type="dxa"/>
          </w:tcPr>
          <w:p w14:paraId="3446FE06" w14:textId="262BCC4F" w:rsidR="00E712CD" w:rsidRPr="00625FA5" w:rsidRDefault="00E712CD" w:rsidP="00625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FA5">
              <w:t>As a class</w:t>
            </w:r>
            <w:r w:rsidR="007B659B">
              <w:t>,</w:t>
            </w:r>
            <w:r w:rsidRPr="00625FA5">
              <w:t xml:space="preserve"> then in pairs</w:t>
            </w:r>
            <w:r w:rsidR="007B659B">
              <w:t>.</w:t>
            </w:r>
          </w:p>
        </w:tc>
        <w:tc>
          <w:tcPr>
            <w:tcW w:w="2035" w:type="dxa"/>
          </w:tcPr>
          <w:p w14:paraId="228BEE32" w14:textId="3C6C6A03" w:rsidR="00E712CD" w:rsidRPr="00625FA5" w:rsidRDefault="00E712CD" w:rsidP="00625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FA5">
              <w:t>Plenary to asse</w:t>
            </w:r>
            <w:r w:rsidR="00625FA5" w:rsidRPr="00625FA5">
              <w:t>ss learning within the lesson</w:t>
            </w:r>
            <w:r w:rsidR="007B659B">
              <w:t>.</w:t>
            </w:r>
          </w:p>
        </w:tc>
      </w:tr>
    </w:tbl>
    <w:p w14:paraId="717A6E91" w14:textId="77777777" w:rsidR="00B72D87" w:rsidRPr="00B72D87" w:rsidRDefault="00B72D87" w:rsidP="00FC279D">
      <w:pPr>
        <w:pStyle w:val="AQASectionTitle1"/>
      </w:pPr>
      <w:r w:rsidRPr="00B72D87">
        <w:t>Extension</w:t>
      </w:r>
    </w:p>
    <w:p w14:paraId="00F0A14C" w14:textId="77777777" w:rsidR="00B72D87" w:rsidRPr="00B36933" w:rsidRDefault="00127234" w:rsidP="00625FA5">
      <w:pPr>
        <w:rPr>
          <w:rStyle w:val="Italic"/>
        </w:rPr>
      </w:pPr>
      <w:r w:rsidRPr="00625FA5">
        <w:t xml:space="preserve">Students can use reference materials to come up with their own infinitives for use with </w:t>
      </w:r>
      <w:proofErr w:type="spellStart"/>
      <w:proofErr w:type="gramStart"/>
      <w:r w:rsidRPr="003D3215">
        <w:rPr>
          <w:rStyle w:val="Italic"/>
        </w:rPr>
        <w:t>il</w:t>
      </w:r>
      <w:proofErr w:type="spellEnd"/>
      <w:proofErr w:type="gramEnd"/>
      <w:r w:rsidRPr="003D3215">
        <w:rPr>
          <w:rStyle w:val="Italic"/>
        </w:rPr>
        <w:t xml:space="preserve"> </w:t>
      </w:r>
      <w:proofErr w:type="spellStart"/>
      <w:r w:rsidRPr="003D3215">
        <w:rPr>
          <w:rStyle w:val="Italic"/>
        </w:rPr>
        <w:t>faut</w:t>
      </w:r>
      <w:proofErr w:type="spellEnd"/>
      <w:r>
        <w:rPr>
          <w:rStyle w:val="Italic"/>
        </w:rPr>
        <w:t xml:space="preserve"> </w:t>
      </w:r>
      <w:r w:rsidRPr="00625FA5">
        <w:t>sentences.</w:t>
      </w:r>
      <w:r>
        <w:rPr>
          <w:rStyle w:val="Italic"/>
        </w:rPr>
        <w:t xml:space="preserve"> </w:t>
      </w:r>
    </w:p>
    <w:p w14:paraId="2A689463" w14:textId="77777777" w:rsidR="00B72D87" w:rsidRPr="00B72D87" w:rsidRDefault="00B72D87" w:rsidP="00B72D87"/>
    <w:sectPr w:rsidR="00B72D87" w:rsidRPr="00B72D87" w:rsidSect="009B60A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C810" w14:textId="77777777" w:rsidR="001759E6" w:rsidRDefault="001759E6" w:rsidP="00B829AB">
      <w:r>
        <w:separator/>
      </w:r>
    </w:p>
  </w:endnote>
  <w:endnote w:type="continuationSeparator" w:id="0">
    <w:p w14:paraId="05DF8F72" w14:textId="77777777" w:rsidR="001759E6" w:rsidRDefault="001759E6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altName w:val="Andale Mono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FB8D" w14:textId="77777777" w:rsidR="00CF1247" w:rsidRDefault="00CF1247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4D1F7" w14:textId="77777777" w:rsidR="00CF1247" w:rsidRDefault="00CF1247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6127" w14:textId="77777777" w:rsidR="001759E6" w:rsidRDefault="001759E6" w:rsidP="00B829AB">
      <w:r>
        <w:separator/>
      </w:r>
    </w:p>
  </w:footnote>
  <w:footnote w:type="continuationSeparator" w:id="0">
    <w:p w14:paraId="02F5CCFE" w14:textId="77777777" w:rsidR="001759E6" w:rsidRDefault="001759E6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CE3BC" w14:textId="77777777" w:rsidR="00CF1247" w:rsidRDefault="00CF1247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87F99" w14:textId="77777777" w:rsidR="00CF1247" w:rsidRDefault="00CF1247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7F6E6" w14:textId="77777777" w:rsidR="00CF1247" w:rsidRDefault="00CF1247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27234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759E6"/>
    <w:rsid w:val="0018033D"/>
    <w:rsid w:val="001805A9"/>
    <w:rsid w:val="00185C01"/>
    <w:rsid w:val="00190593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605"/>
    <w:rsid w:val="0020455D"/>
    <w:rsid w:val="00210C58"/>
    <w:rsid w:val="002121D8"/>
    <w:rsid w:val="00214842"/>
    <w:rsid w:val="00215107"/>
    <w:rsid w:val="00215AAC"/>
    <w:rsid w:val="00221ABB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3F"/>
    <w:rsid w:val="003A759C"/>
    <w:rsid w:val="003A787D"/>
    <w:rsid w:val="003B7E1B"/>
    <w:rsid w:val="003C5C19"/>
    <w:rsid w:val="003C6747"/>
    <w:rsid w:val="003D1A2D"/>
    <w:rsid w:val="003D3215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4FAF"/>
    <w:rsid w:val="00625D0C"/>
    <w:rsid w:val="00625FA5"/>
    <w:rsid w:val="00626D3E"/>
    <w:rsid w:val="00636047"/>
    <w:rsid w:val="00636539"/>
    <w:rsid w:val="00642C9D"/>
    <w:rsid w:val="006453BA"/>
    <w:rsid w:val="00647021"/>
    <w:rsid w:val="00651403"/>
    <w:rsid w:val="00651DB9"/>
    <w:rsid w:val="006600A8"/>
    <w:rsid w:val="00660B68"/>
    <w:rsid w:val="00672DB4"/>
    <w:rsid w:val="00673E25"/>
    <w:rsid w:val="00682DD0"/>
    <w:rsid w:val="0069554A"/>
    <w:rsid w:val="0069559D"/>
    <w:rsid w:val="00697580"/>
    <w:rsid w:val="006A7F64"/>
    <w:rsid w:val="006B0064"/>
    <w:rsid w:val="006C1C11"/>
    <w:rsid w:val="006C2F56"/>
    <w:rsid w:val="006C369F"/>
    <w:rsid w:val="006C3B73"/>
    <w:rsid w:val="006C7FDB"/>
    <w:rsid w:val="006D2272"/>
    <w:rsid w:val="006D54A7"/>
    <w:rsid w:val="006D5E95"/>
    <w:rsid w:val="006E1321"/>
    <w:rsid w:val="006E337F"/>
    <w:rsid w:val="006E44B4"/>
    <w:rsid w:val="006E619B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37C2"/>
    <w:rsid w:val="00783530"/>
    <w:rsid w:val="007A21E6"/>
    <w:rsid w:val="007A2C71"/>
    <w:rsid w:val="007A657A"/>
    <w:rsid w:val="007B46AF"/>
    <w:rsid w:val="007B6079"/>
    <w:rsid w:val="007B659B"/>
    <w:rsid w:val="007B68AD"/>
    <w:rsid w:val="007B6F91"/>
    <w:rsid w:val="007C3DB7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C4FCE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5045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1AF6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41461"/>
    <w:rsid w:val="00C5075D"/>
    <w:rsid w:val="00C57EC8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0848"/>
    <w:rsid w:val="00CE4B17"/>
    <w:rsid w:val="00CE76E9"/>
    <w:rsid w:val="00CF0130"/>
    <w:rsid w:val="00CF1247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61D85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C445B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419D"/>
    <w:rsid w:val="00E37342"/>
    <w:rsid w:val="00E443CC"/>
    <w:rsid w:val="00E53C4E"/>
    <w:rsid w:val="00E55EF1"/>
    <w:rsid w:val="00E5677F"/>
    <w:rsid w:val="00E6679E"/>
    <w:rsid w:val="00E712CD"/>
    <w:rsid w:val="00E81C87"/>
    <w:rsid w:val="00E84E8D"/>
    <w:rsid w:val="00E877B4"/>
    <w:rsid w:val="00EA02B2"/>
    <w:rsid w:val="00EA23CB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350CC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79D"/>
    <w:rsid w:val="00FC2823"/>
    <w:rsid w:val="00FC2EF4"/>
    <w:rsid w:val="00FC44F6"/>
    <w:rsid w:val="00FC7AED"/>
    <w:rsid w:val="00FD1291"/>
    <w:rsid w:val="00FD3F45"/>
    <w:rsid w:val="00FD5D3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AB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15E8A.9B3FEA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218F6-35D6-4753-A430-7922E775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A730A9DC.dotm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2016-02-29T10:16:00Z</dcterms:created>
  <dcterms:modified xsi:type="dcterms:W3CDTF">2016-02-29T10:33:00Z</dcterms:modified>
</cp:coreProperties>
</file>