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465E84" w:rsidP="00B72D87">
      <w:r>
        <w:rPr>
          <w:noProof/>
          <w:lang w:val="en-GB" w:eastAsia="en-GB"/>
        </w:rPr>
        <w:drawing>
          <wp:inline distT="0" distB="0" distL="0" distR="0" wp14:anchorId="0345F5D0" wp14:editId="2DF3D4A7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web_maste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Default="00B90232" w:rsidP="009159F8">
      <w:pPr>
        <w:pStyle w:val="Title"/>
      </w:pPr>
      <w:r>
        <w:t>Scheme of work: Year 2 planner</w:t>
      </w:r>
    </w:p>
    <w:p w:rsidR="00532A67" w:rsidRPr="00C24E98" w:rsidRDefault="00BC03C4" w:rsidP="00532A67">
      <w:pPr>
        <w:rPr>
          <w:rFonts w:ascii="Arial" w:hAnsi="Arial" w:cs="Arial"/>
          <w:sz w:val="22"/>
          <w:szCs w:val="22"/>
        </w:rPr>
      </w:pPr>
      <w:r w:rsidRPr="00C24E98">
        <w:rPr>
          <w:rFonts w:ascii="Arial" w:hAnsi="Arial" w:cs="Arial"/>
          <w:sz w:val="22"/>
          <w:szCs w:val="22"/>
        </w:rPr>
        <w:t>This scheme of work suggests one potential way to deliver the A-level Law specification (7162).</w:t>
      </w:r>
      <w:r w:rsidR="00237AA8" w:rsidRPr="00C24E98">
        <w:rPr>
          <w:rFonts w:ascii="Arial" w:hAnsi="Arial" w:cs="Arial"/>
          <w:sz w:val="22"/>
          <w:szCs w:val="22"/>
        </w:rPr>
        <w:t xml:space="preserve"> It</w:t>
      </w:r>
      <w:r w:rsidR="00465E84">
        <w:rPr>
          <w:rFonts w:ascii="Arial" w:hAnsi="Arial" w:cs="Arial"/>
          <w:sz w:val="22"/>
          <w:szCs w:val="22"/>
        </w:rPr>
        <w:t xml:space="preserve"> </w:t>
      </w:r>
      <w:r w:rsidR="00237AA8" w:rsidRPr="00C24E98">
        <w:rPr>
          <w:rFonts w:ascii="Arial" w:hAnsi="Arial" w:cs="Arial"/>
          <w:sz w:val="22"/>
          <w:szCs w:val="22"/>
        </w:rPr>
        <w:t>provide</w:t>
      </w:r>
      <w:r w:rsidR="00465E84">
        <w:rPr>
          <w:rFonts w:ascii="Arial" w:hAnsi="Arial" w:cs="Arial"/>
          <w:sz w:val="22"/>
          <w:szCs w:val="22"/>
        </w:rPr>
        <w:t>s</w:t>
      </w:r>
      <w:r w:rsidR="00237AA8" w:rsidRPr="00C24E98">
        <w:rPr>
          <w:rFonts w:ascii="Arial" w:hAnsi="Arial" w:cs="Arial"/>
          <w:sz w:val="22"/>
          <w:szCs w:val="22"/>
        </w:rPr>
        <w:t xml:space="preserve"> teachers with a very broad overview of how the course might be planned on a half-termly basis. This calendar-style planner is designed to be used alongside your own detailed schemes of work or the </w:t>
      </w:r>
      <w:r w:rsidR="00465E84">
        <w:rPr>
          <w:rFonts w:ascii="Arial" w:hAnsi="Arial" w:cs="Arial"/>
          <w:sz w:val="22"/>
          <w:szCs w:val="22"/>
        </w:rPr>
        <w:t xml:space="preserve">subject </w:t>
      </w:r>
      <w:r w:rsidR="00237AA8" w:rsidRPr="00C24E98">
        <w:rPr>
          <w:rFonts w:ascii="Arial" w:hAnsi="Arial" w:cs="Arial"/>
          <w:sz w:val="22"/>
          <w:szCs w:val="22"/>
        </w:rPr>
        <w:t xml:space="preserve">specific </w:t>
      </w:r>
      <w:hyperlink r:id="rId10" w:history="1">
        <w:r w:rsidR="00237AA8" w:rsidRPr="003A1C6B">
          <w:rPr>
            <w:rStyle w:val="Hyperlink"/>
            <w:rFonts w:ascii="Arial" w:hAnsi="Arial" w:cs="Arial"/>
            <w:sz w:val="22"/>
            <w:szCs w:val="22"/>
            <w:u w:val="none"/>
          </w:rPr>
          <w:t>schemes of work</w:t>
        </w:r>
      </w:hyperlink>
      <w:r w:rsidR="00237AA8" w:rsidRPr="00C24E98">
        <w:rPr>
          <w:rFonts w:ascii="Arial" w:hAnsi="Arial" w:cs="Arial"/>
          <w:sz w:val="22"/>
          <w:szCs w:val="22"/>
        </w:rPr>
        <w:t xml:space="preserve"> provided </w:t>
      </w:r>
      <w:r w:rsidR="00991574" w:rsidRPr="00C24E98">
        <w:rPr>
          <w:rFonts w:ascii="Arial" w:hAnsi="Arial" w:cs="Arial"/>
          <w:sz w:val="22"/>
          <w:szCs w:val="22"/>
        </w:rPr>
        <w:t>on the Law pages of our website</w:t>
      </w:r>
      <w:r w:rsidR="00237AA8" w:rsidRPr="00C24E98">
        <w:rPr>
          <w:rFonts w:ascii="Arial" w:hAnsi="Arial" w:cs="Arial"/>
          <w:sz w:val="22"/>
          <w:szCs w:val="22"/>
        </w:rPr>
        <w:t>.</w:t>
      </w:r>
      <w:r w:rsidRPr="00C24E98">
        <w:rPr>
          <w:rFonts w:ascii="Arial" w:hAnsi="Arial" w:cs="Arial"/>
          <w:sz w:val="22"/>
          <w:szCs w:val="22"/>
        </w:rPr>
        <w:t xml:space="preserve"> </w:t>
      </w:r>
    </w:p>
    <w:p w:rsidR="00A74CB5" w:rsidRPr="007810A8" w:rsidRDefault="00237AA8" w:rsidP="00A74CB5">
      <w:pPr>
        <w:pStyle w:val="AQASectionTitle1"/>
        <w:rPr>
          <w:b w:val="0"/>
        </w:rPr>
      </w:pPr>
      <w:r>
        <w:rPr>
          <w:b w:val="0"/>
        </w:rPr>
        <w:t>Paper</w:t>
      </w:r>
      <w:r w:rsidR="00E4056A" w:rsidRPr="007810A8">
        <w:rPr>
          <w:b w:val="0"/>
        </w:rPr>
        <w:t xml:space="preserve"> allocations by half term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841"/>
        <w:gridCol w:w="2841"/>
      </w:tblGrid>
      <w:tr w:rsidR="00E4056A" w:rsidTr="00465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E4056A" w:rsidRPr="007941B9" w:rsidRDefault="00E4056A" w:rsidP="00E4056A">
            <w:r w:rsidRPr="007941B9">
              <w:t>Year</w:t>
            </w:r>
          </w:p>
        </w:tc>
        <w:tc>
          <w:tcPr>
            <w:tcW w:w="2841" w:type="dxa"/>
          </w:tcPr>
          <w:p w:rsidR="00E4056A" w:rsidRPr="007941B9" w:rsidRDefault="00E4056A" w:rsidP="00E40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41B9">
              <w:t>Half term</w:t>
            </w:r>
          </w:p>
        </w:tc>
        <w:tc>
          <w:tcPr>
            <w:tcW w:w="2841" w:type="dxa"/>
          </w:tcPr>
          <w:p w:rsidR="00E4056A" w:rsidRPr="007941B9" w:rsidRDefault="004E3364" w:rsidP="00E40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41B9">
              <w:t>Paper</w:t>
            </w:r>
          </w:p>
        </w:tc>
      </w:tr>
      <w:tr w:rsidR="00E4056A" w:rsidTr="0046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E4056A" w:rsidRPr="00A74CB5" w:rsidRDefault="00D07705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2841" w:type="dxa"/>
          </w:tcPr>
          <w:p w:rsidR="00E4056A" w:rsidRPr="00A74CB5" w:rsidRDefault="00D07705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1</w:t>
            </w:r>
          </w:p>
        </w:tc>
        <w:tc>
          <w:tcPr>
            <w:tcW w:w="2841" w:type="dxa"/>
          </w:tcPr>
          <w:p w:rsidR="00E4056A" w:rsidRPr="00A74CB5" w:rsidRDefault="00237AA8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1</w:t>
            </w:r>
          </w:p>
        </w:tc>
      </w:tr>
      <w:tr w:rsidR="00D07705" w:rsidTr="0046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D07705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2841" w:type="dxa"/>
          </w:tcPr>
          <w:p w:rsidR="00D07705" w:rsidRPr="00A74CB5" w:rsidRDefault="00054C89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2</w:t>
            </w:r>
          </w:p>
        </w:tc>
        <w:tc>
          <w:tcPr>
            <w:tcW w:w="2841" w:type="dxa"/>
          </w:tcPr>
          <w:p w:rsidR="00054C89" w:rsidRPr="00A74CB5" w:rsidRDefault="00237AA8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1</w:t>
            </w:r>
          </w:p>
        </w:tc>
      </w:tr>
      <w:tr w:rsidR="00054C89" w:rsidTr="0046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4C89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3</w:t>
            </w:r>
          </w:p>
        </w:tc>
        <w:tc>
          <w:tcPr>
            <w:tcW w:w="2841" w:type="dxa"/>
          </w:tcPr>
          <w:p w:rsidR="00054C89" w:rsidRPr="00A74CB5" w:rsidRDefault="00237AA8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1</w:t>
            </w:r>
          </w:p>
        </w:tc>
      </w:tr>
      <w:tr w:rsidR="00054C89" w:rsidTr="0046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4C89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4</w:t>
            </w:r>
          </w:p>
        </w:tc>
        <w:tc>
          <w:tcPr>
            <w:tcW w:w="2841" w:type="dxa"/>
          </w:tcPr>
          <w:p w:rsidR="00054C89" w:rsidRPr="00A74CB5" w:rsidRDefault="00237AA8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1</w:t>
            </w:r>
          </w:p>
        </w:tc>
      </w:tr>
      <w:tr w:rsidR="00054C89" w:rsidTr="0046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4C89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5</w:t>
            </w:r>
          </w:p>
        </w:tc>
        <w:tc>
          <w:tcPr>
            <w:tcW w:w="2841" w:type="dxa"/>
          </w:tcPr>
          <w:p w:rsidR="00054C89" w:rsidRPr="00A74CB5" w:rsidRDefault="00237AA8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2</w:t>
            </w:r>
          </w:p>
        </w:tc>
      </w:tr>
      <w:tr w:rsidR="00054C89" w:rsidTr="0046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4C89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6</w:t>
            </w:r>
          </w:p>
        </w:tc>
        <w:tc>
          <w:tcPr>
            <w:tcW w:w="2841" w:type="dxa"/>
          </w:tcPr>
          <w:p w:rsidR="00054C89" w:rsidRPr="00A74CB5" w:rsidRDefault="00237AA8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2</w:t>
            </w:r>
          </w:p>
        </w:tc>
      </w:tr>
      <w:tr w:rsidR="00054C89" w:rsidTr="0046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4C89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7</w:t>
            </w:r>
          </w:p>
        </w:tc>
        <w:tc>
          <w:tcPr>
            <w:tcW w:w="2841" w:type="dxa"/>
          </w:tcPr>
          <w:p w:rsidR="00054C89" w:rsidRPr="00A74CB5" w:rsidRDefault="00237AA8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2</w:t>
            </w:r>
          </w:p>
        </w:tc>
      </w:tr>
      <w:tr w:rsidR="00054C89" w:rsidTr="0046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4C89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8</w:t>
            </w:r>
          </w:p>
        </w:tc>
        <w:tc>
          <w:tcPr>
            <w:tcW w:w="2841" w:type="dxa"/>
          </w:tcPr>
          <w:p w:rsidR="00054C89" w:rsidRPr="00A74CB5" w:rsidRDefault="00237AA8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3</w:t>
            </w:r>
          </w:p>
        </w:tc>
      </w:tr>
      <w:tr w:rsidR="00054C89" w:rsidTr="0046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4C89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9</w:t>
            </w:r>
          </w:p>
        </w:tc>
        <w:tc>
          <w:tcPr>
            <w:tcW w:w="2841" w:type="dxa"/>
          </w:tcPr>
          <w:p w:rsidR="00054C89" w:rsidRPr="00A74CB5" w:rsidRDefault="00237AA8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3</w:t>
            </w:r>
          </w:p>
        </w:tc>
      </w:tr>
      <w:tr w:rsidR="00054C89" w:rsidTr="0046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4C89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Half term 10</w:t>
            </w:r>
          </w:p>
        </w:tc>
        <w:tc>
          <w:tcPr>
            <w:tcW w:w="2841" w:type="dxa"/>
          </w:tcPr>
          <w:p w:rsidR="00054C89" w:rsidRPr="00A74CB5" w:rsidRDefault="00237AA8" w:rsidP="00E4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3</w:t>
            </w:r>
          </w:p>
        </w:tc>
      </w:tr>
      <w:tr w:rsidR="00054C89" w:rsidTr="0046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4C89" w:rsidRPr="00A74CB5" w:rsidRDefault="00054C89" w:rsidP="00E4056A">
            <w:pPr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Summer term</w:t>
            </w:r>
          </w:p>
        </w:tc>
        <w:tc>
          <w:tcPr>
            <w:tcW w:w="2841" w:type="dxa"/>
          </w:tcPr>
          <w:p w:rsidR="00054C89" w:rsidRPr="00A74CB5" w:rsidRDefault="00054C89" w:rsidP="00E40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4CB5"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</w:tr>
    </w:tbl>
    <w:p w:rsidR="00E4056A" w:rsidRPr="00E4056A" w:rsidRDefault="00E4056A" w:rsidP="00E4056A"/>
    <w:p w:rsidR="004A236E" w:rsidRPr="00A74CB5" w:rsidRDefault="004A236E" w:rsidP="00532A67">
      <w:pPr>
        <w:rPr>
          <w:rFonts w:ascii="Arial" w:hAnsi="Arial" w:cs="Arial"/>
          <w:sz w:val="22"/>
          <w:szCs w:val="22"/>
        </w:rPr>
      </w:pPr>
      <w:r w:rsidRPr="00A74CB5">
        <w:rPr>
          <w:rFonts w:ascii="Arial" w:hAnsi="Arial" w:cs="Arial"/>
          <w:sz w:val="22"/>
          <w:szCs w:val="22"/>
        </w:rPr>
        <w:t xml:space="preserve">This model </w:t>
      </w:r>
      <w:r w:rsidR="00465E84">
        <w:rPr>
          <w:rFonts w:ascii="Arial" w:hAnsi="Arial" w:cs="Arial"/>
          <w:sz w:val="22"/>
          <w:szCs w:val="22"/>
        </w:rPr>
        <w:t>assumes</w:t>
      </w:r>
      <w:r w:rsidR="007810A8">
        <w:rPr>
          <w:rFonts w:ascii="Arial" w:hAnsi="Arial" w:cs="Arial"/>
          <w:sz w:val="22"/>
          <w:szCs w:val="22"/>
        </w:rPr>
        <w:t xml:space="preserve"> that much of the </w:t>
      </w:r>
      <w:r w:rsidR="00237AA8">
        <w:rPr>
          <w:rFonts w:ascii="Arial" w:hAnsi="Arial" w:cs="Arial"/>
          <w:sz w:val="22"/>
          <w:szCs w:val="22"/>
        </w:rPr>
        <w:t>English legal system/</w:t>
      </w:r>
      <w:r w:rsidR="007810A8">
        <w:rPr>
          <w:rFonts w:ascii="Arial" w:hAnsi="Arial" w:cs="Arial"/>
          <w:sz w:val="22"/>
          <w:szCs w:val="22"/>
        </w:rPr>
        <w:t>s</w:t>
      </w:r>
      <w:r w:rsidRPr="00A74CB5">
        <w:rPr>
          <w:rFonts w:ascii="Arial" w:hAnsi="Arial" w:cs="Arial"/>
          <w:sz w:val="22"/>
          <w:szCs w:val="22"/>
        </w:rPr>
        <w:t xml:space="preserve">ources will be delivered </w:t>
      </w:r>
      <w:r w:rsidR="006D4D53">
        <w:rPr>
          <w:rFonts w:ascii="Arial" w:hAnsi="Arial" w:cs="Arial"/>
          <w:sz w:val="22"/>
          <w:szCs w:val="22"/>
        </w:rPr>
        <w:t>in the Paper 1 half terms</w:t>
      </w:r>
      <w:r w:rsidR="00A25259">
        <w:rPr>
          <w:rFonts w:ascii="Arial" w:hAnsi="Arial" w:cs="Arial"/>
          <w:sz w:val="22"/>
          <w:szCs w:val="22"/>
        </w:rPr>
        <w:t>. T</w:t>
      </w:r>
      <w:r w:rsidRPr="00A74CB5">
        <w:rPr>
          <w:rFonts w:ascii="Arial" w:hAnsi="Arial" w:cs="Arial"/>
          <w:sz w:val="22"/>
          <w:szCs w:val="22"/>
        </w:rPr>
        <w:t xml:space="preserve">his, </w:t>
      </w:r>
      <w:r w:rsidR="006D4D53">
        <w:rPr>
          <w:rFonts w:ascii="Arial" w:hAnsi="Arial" w:cs="Arial"/>
          <w:sz w:val="22"/>
          <w:szCs w:val="22"/>
        </w:rPr>
        <w:t xml:space="preserve">the now integrated nature of ELS </w:t>
      </w:r>
      <w:r w:rsidR="00A25259">
        <w:rPr>
          <w:rFonts w:ascii="Arial" w:hAnsi="Arial" w:cs="Arial"/>
          <w:sz w:val="22"/>
          <w:szCs w:val="22"/>
        </w:rPr>
        <w:t>and the need to provide an introduction to the subject,</w:t>
      </w:r>
      <w:r w:rsidR="00951E35">
        <w:rPr>
          <w:rFonts w:ascii="Arial" w:hAnsi="Arial" w:cs="Arial"/>
          <w:sz w:val="22"/>
          <w:szCs w:val="22"/>
        </w:rPr>
        <w:t xml:space="preserve"> </w:t>
      </w:r>
      <w:r w:rsidRPr="00A74CB5">
        <w:rPr>
          <w:rFonts w:ascii="Arial" w:hAnsi="Arial" w:cs="Arial"/>
          <w:sz w:val="22"/>
          <w:szCs w:val="22"/>
        </w:rPr>
        <w:t xml:space="preserve">justifies allocating four half terms to </w:t>
      </w:r>
      <w:r w:rsidR="006D4D53">
        <w:rPr>
          <w:rFonts w:ascii="Arial" w:hAnsi="Arial" w:cs="Arial"/>
          <w:sz w:val="22"/>
          <w:szCs w:val="22"/>
        </w:rPr>
        <w:t>Paper 1</w:t>
      </w:r>
      <w:r w:rsidRPr="00A74CB5">
        <w:rPr>
          <w:rFonts w:ascii="Arial" w:hAnsi="Arial" w:cs="Arial"/>
          <w:sz w:val="22"/>
          <w:szCs w:val="22"/>
        </w:rPr>
        <w:t xml:space="preserve"> and only three half terms to each of the other </w:t>
      </w:r>
      <w:r w:rsidR="006D4D53">
        <w:rPr>
          <w:rFonts w:ascii="Arial" w:hAnsi="Arial" w:cs="Arial"/>
          <w:sz w:val="22"/>
          <w:szCs w:val="22"/>
        </w:rPr>
        <w:t>Papers</w:t>
      </w:r>
      <w:r w:rsidRPr="00A74CB5">
        <w:rPr>
          <w:rFonts w:ascii="Arial" w:hAnsi="Arial" w:cs="Arial"/>
          <w:sz w:val="22"/>
          <w:szCs w:val="22"/>
        </w:rPr>
        <w:t xml:space="preserve">. </w:t>
      </w:r>
      <w:r w:rsidR="00532A67" w:rsidRPr="00A74CB5">
        <w:rPr>
          <w:rFonts w:ascii="Arial" w:hAnsi="Arial" w:cs="Arial"/>
          <w:sz w:val="22"/>
          <w:szCs w:val="22"/>
        </w:rPr>
        <w:t xml:space="preserve"> </w:t>
      </w:r>
    </w:p>
    <w:p w:rsidR="004A236E" w:rsidRDefault="004A236E" w:rsidP="004A236E">
      <w:pPr>
        <w:rPr>
          <w:rFonts w:ascii="Arial" w:hAnsi="Arial" w:cs="Arial"/>
          <w:sz w:val="22"/>
          <w:szCs w:val="22"/>
        </w:rPr>
      </w:pPr>
      <w:r w:rsidRPr="00A74CB5">
        <w:rPr>
          <w:rFonts w:ascii="Arial" w:hAnsi="Arial" w:cs="Arial"/>
          <w:sz w:val="22"/>
          <w:szCs w:val="22"/>
        </w:rPr>
        <w:t xml:space="preserve">The order of topics can be varied. </w:t>
      </w:r>
      <w:r w:rsidR="00E041E4">
        <w:rPr>
          <w:rFonts w:ascii="Arial" w:hAnsi="Arial" w:cs="Arial"/>
          <w:sz w:val="22"/>
          <w:szCs w:val="22"/>
        </w:rPr>
        <w:t>We suggest that each p</w:t>
      </w:r>
      <w:r w:rsidR="007810A8">
        <w:rPr>
          <w:rFonts w:ascii="Arial" w:hAnsi="Arial" w:cs="Arial"/>
          <w:sz w:val="22"/>
          <w:szCs w:val="22"/>
        </w:rPr>
        <w:t>aper is introduced</w:t>
      </w:r>
      <w:r w:rsidR="006D4D53">
        <w:rPr>
          <w:rFonts w:ascii="Arial" w:hAnsi="Arial" w:cs="Arial"/>
          <w:sz w:val="22"/>
          <w:szCs w:val="22"/>
        </w:rPr>
        <w:t xml:space="preserve"> with an exercise/</w:t>
      </w:r>
      <w:r w:rsidRPr="00A74CB5">
        <w:rPr>
          <w:rFonts w:ascii="Arial" w:hAnsi="Arial" w:cs="Arial"/>
          <w:sz w:val="22"/>
          <w:szCs w:val="22"/>
        </w:rPr>
        <w:t xml:space="preserve">activity </w:t>
      </w:r>
      <w:r w:rsidR="00A25259">
        <w:rPr>
          <w:rFonts w:ascii="Arial" w:hAnsi="Arial" w:cs="Arial"/>
          <w:sz w:val="22"/>
          <w:szCs w:val="22"/>
        </w:rPr>
        <w:t>that</w:t>
      </w:r>
      <w:r w:rsidR="00A25259" w:rsidRPr="00A74CB5">
        <w:rPr>
          <w:rFonts w:ascii="Arial" w:hAnsi="Arial" w:cs="Arial"/>
          <w:sz w:val="22"/>
          <w:szCs w:val="22"/>
        </w:rPr>
        <w:t xml:space="preserve"> </w:t>
      </w:r>
      <w:r w:rsidR="007810A8">
        <w:rPr>
          <w:rFonts w:ascii="Arial" w:hAnsi="Arial" w:cs="Arial"/>
          <w:sz w:val="22"/>
          <w:szCs w:val="22"/>
        </w:rPr>
        <w:t>references</w:t>
      </w:r>
      <w:r w:rsidRPr="00A74CB5">
        <w:rPr>
          <w:rFonts w:ascii="Arial" w:hAnsi="Arial" w:cs="Arial"/>
          <w:sz w:val="22"/>
          <w:szCs w:val="22"/>
        </w:rPr>
        <w:t xml:space="preserve"> the ELS elements. Another approach is to b</w:t>
      </w:r>
      <w:r w:rsidR="006D4D53">
        <w:rPr>
          <w:rFonts w:ascii="Arial" w:hAnsi="Arial" w:cs="Arial"/>
          <w:sz w:val="22"/>
          <w:szCs w:val="22"/>
        </w:rPr>
        <w:t>egin with the relevant concepts/c</w:t>
      </w:r>
      <w:r w:rsidRPr="00A74CB5">
        <w:rPr>
          <w:rFonts w:ascii="Arial" w:hAnsi="Arial" w:cs="Arial"/>
          <w:sz w:val="22"/>
          <w:szCs w:val="22"/>
        </w:rPr>
        <w:t>rime theory or</w:t>
      </w:r>
      <w:r w:rsidR="00A25259">
        <w:rPr>
          <w:rFonts w:ascii="Arial" w:hAnsi="Arial" w:cs="Arial"/>
          <w:sz w:val="22"/>
          <w:szCs w:val="22"/>
        </w:rPr>
        <w:t xml:space="preserve"> </w:t>
      </w:r>
      <w:r w:rsidRPr="00A74CB5">
        <w:rPr>
          <w:rFonts w:ascii="Arial" w:hAnsi="Arial" w:cs="Arial"/>
          <w:sz w:val="22"/>
          <w:szCs w:val="22"/>
        </w:rPr>
        <w:t xml:space="preserve">to </w:t>
      </w:r>
      <w:r w:rsidR="007810A8">
        <w:rPr>
          <w:rFonts w:ascii="Arial" w:hAnsi="Arial" w:cs="Arial"/>
          <w:sz w:val="22"/>
          <w:szCs w:val="22"/>
        </w:rPr>
        <w:t>proceed with the substantive law.</w:t>
      </w:r>
    </w:p>
    <w:p w:rsidR="000F2750" w:rsidRPr="00A74CB5" w:rsidRDefault="00C24E98" w:rsidP="004A23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E041E4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0F2750">
        <w:rPr>
          <w:rFonts w:ascii="Arial" w:hAnsi="Arial" w:cs="Arial"/>
          <w:sz w:val="22"/>
          <w:szCs w:val="22"/>
        </w:rPr>
        <w:t>ight</w:t>
      </w:r>
      <w:r w:rsidR="00465E84">
        <w:rPr>
          <w:rFonts w:ascii="Arial" w:hAnsi="Arial" w:cs="Arial"/>
          <w:sz w:val="22"/>
          <w:szCs w:val="22"/>
        </w:rPr>
        <w:t xml:space="preserve"> </w:t>
      </w:r>
      <w:r w:rsidR="000F2750">
        <w:rPr>
          <w:rFonts w:ascii="Arial" w:hAnsi="Arial" w:cs="Arial"/>
          <w:sz w:val="22"/>
          <w:szCs w:val="22"/>
        </w:rPr>
        <w:t xml:space="preserve">touch’ evaluation could take the form of simply asking students a couple of probing questions about the highlighted subtopics. For example, asking students what they perceive to be contentious or problematic about vicarious liability. </w:t>
      </w:r>
      <w:r w:rsidR="00465E84">
        <w:rPr>
          <w:rFonts w:ascii="Arial" w:hAnsi="Arial" w:cs="Arial"/>
          <w:sz w:val="22"/>
          <w:szCs w:val="22"/>
        </w:rPr>
        <w:t>S</w:t>
      </w:r>
      <w:r w:rsidR="000F2750">
        <w:rPr>
          <w:rFonts w:ascii="Arial" w:hAnsi="Arial" w:cs="Arial"/>
          <w:sz w:val="22"/>
          <w:szCs w:val="22"/>
        </w:rPr>
        <w:t>tudents will not be expected to undertake in-depth evaluation of</w:t>
      </w:r>
      <w:r w:rsidR="00991574">
        <w:rPr>
          <w:rFonts w:ascii="Arial" w:hAnsi="Arial" w:cs="Arial"/>
          <w:sz w:val="22"/>
          <w:szCs w:val="22"/>
        </w:rPr>
        <w:t xml:space="preserve"> each of the </w:t>
      </w:r>
      <w:r w:rsidR="000F2750">
        <w:rPr>
          <w:rFonts w:ascii="Arial" w:hAnsi="Arial" w:cs="Arial"/>
          <w:sz w:val="22"/>
          <w:szCs w:val="22"/>
        </w:rPr>
        <w:t xml:space="preserve">subtopics. </w:t>
      </w:r>
    </w:p>
    <w:p w:rsidR="00E62938" w:rsidRPr="00A74CB5" w:rsidRDefault="00E62938" w:rsidP="004A236E">
      <w:pPr>
        <w:rPr>
          <w:rFonts w:ascii="Arial" w:hAnsi="Arial" w:cs="Arial"/>
          <w:i/>
          <w:sz w:val="22"/>
          <w:szCs w:val="22"/>
        </w:rPr>
      </w:pPr>
    </w:p>
    <w:p w:rsidR="00465E84" w:rsidRDefault="00465E84">
      <w:pPr>
        <w:spacing w:before="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br w:type="page"/>
      </w:r>
    </w:p>
    <w:p w:rsidR="00B72D87" w:rsidRPr="007810A8" w:rsidRDefault="006D4D53" w:rsidP="004A236E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lastRenderedPageBreak/>
        <w:t>Paper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720"/>
        <w:gridCol w:w="2851"/>
      </w:tblGrid>
      <w:tr w:rsidR="00E62938" w:rsidTr="00465E84">
        <w:tc>
          <w:tcPr>
            <w:tcW w:w="1843" w:type="dxa"/>
            <w:shd w:val="clear" w:color="auto" w:fill="4F81BD" w:themeFill="accent1"/>
          </w:tcPr>
          <w:p w:rsidR="00E62938" w:rsidRDefault="00CD7CA1" w:rsidP="00E62938">
            <w:r>
              <w:t>Week</w:t>
            </w:r>
          </w:p>
        </w:tc>
        <w:tc>
          <w:tcPr>
            <w:tcW w:w="3720" w:type="dxa"/>
            <w:shd w:val="clear" w:color="auto" w:fill="4F81BD" w:themeFill="accent1"/>
          </w:tcPr>
          <w:p w:rsidR="00E62938" w:rsidRDefault="00E62938" w:rsidP="00E62938">
            <w:r>
              <w:t>Topic</w:t>
            </w:r>
          </w:p>
        </w:tc>
        <w:tc>
          <w:tcPr>
            <w:tcW w:w="2851" w:type="dxa"/>
            <w:shd w:val="clear" w:color="auto" w:fill="4F81BD" w:themeFill="accent1"/>
          </w:tcPr>
          <w:p w:rsidR="00E62938" w:rsidRDefault="00E62938" w:rsidP="00E62938">
            <w:r>
              <w:t>Notes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Personnel involved</w:t>
            </w:r>
            <w:r w:rsidR="00CD7CA1" w:rsidRPr="008852E4">
              <w:rPr>
                <w:rFonts w:ascii="Arial" w:hAnsi="Arial" w:cs="Arial"/>
                <w:sz w:val="22"/>
                <w:szCs w:val="22"/>
              </w:rPr>
              <w:t xml:space="preserve"> with a criminal trial:</w:t>
            </w:r>
            <w:r w:rsidRPr="008852E4">
              <w:rPr>
                <w:rFonts w:ascii="Arial" w:hAnsi="Arial" w:cs="Arial"/>
                <w:sz w:val="22"/>
                <w:szCs w:val="22"/>
              </w:rPr>
              <w:t xml:space="preserve"> introduction</w:t>
            </w:r>
          </w:p>
        </w:tc>
        <w:tc>
          <w:tcPr>
            <w:tcW w:w="2851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Start with visual material on a criminal trial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0" w:type="dxa"/>
          </w:tcPr>
          <w:p w:rsidR="00A25259" w:rsidRPr="000F2750" w:rsidRDefault="00CD7CA1" w:rsidP="000F275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>Role of jury</w:t>
            </w:r>
          </w:p>
          <w:p w:rsidR="00A25259" w:rsidRPr="000F2750" w:rsidRDefault="00A25259" w:rsidP="000F275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>A</w:t>
            </w:r>
            <w:r w:rsidR="00CD7CA1" w:rsidRPr="000F2750">
              <w:rPr>
                <w:rFonts w:ascii="Arial" w:hAnsi="Arial" w:cs="Arial"/>
                <w:sz w:val="22"/>
                <w:szCs w:val="22"/>
              </w:rPr>
              <w:t>dvantages/</w:t>
            </w:r>
            <w:r w:rsidR="00E62938" w:rsidRPr="000F2750">
              <w:rPr>
                <w:rFonts w:ascii="Arial" w:hAnsi="Arial" w:cs="Arial"/>
                <w:sz w:val="22"/>
                <w:szCs w:val="22"/>
              </w:rPr>
              <w:t>dis</w:t>
            </w:r>
            <w:r w:rsidR="00CD7CA1" w:rsidRPr="000F2750">
              <w:rPr>
                <w:rFonts w:ascii="Arial" w:hAnsi="Arial" w:cs="Arial"/>
                <w:sz w:val="22"/>
                <w:szCs w:val="22"/>
              </w:rPr>
              <w:t xml:space="preserve">advantages </w:t>
            </w:r>
          </w:p>
          <w:p w:rsidR="00E62938" w:rsidRPr="000F2750" w:rsidRDefault="00A25259" w:rsidP="001407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>R</w:t>
            </w:r>
            <w:r w:rsidR="00E62938" w:rsidRPr="000F2750">
              <w:rPr>
                <w:rFonts w:ascii="Arial" w:hAnsi="Arial" w:cs="Arial"/>
                <w:sz w:val="22"/>
                <w:szCs w:val="22"/>
              </w:rPr>
              <w:t>ole of judge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:rsidR="00E62938" w:rsidRPr="000F2750" w:rsidRDefault="000F2750" w:rsidP="000F275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barristers/</w:t>
            </w:r>
            <w:r w:rsidR="00E62938" w:rsidRPr="000F2750">
              <w:rPr>
                <w:rFonts w:ascii="Arial" w:hAnsi="Arial" w:cs="Arial"/>
                <w:sz w:val="22"/>
                <w:szCs w:val="22"/>
              </w:rPr>
              <w:t>solicitors</w:t>
            </w:r>
          </w:p>
          <w:p w:rsidR="00E62938" w:rsidRPr="000F2750" w:rsidRDefault="00E62938" w:rsidP="000F275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 xml:space="preserve">Criminal courts </w:t>
            </w:r>
          </w:p>
          <w:p w:rsidR="00E62938" w:rsidRPr="000F2750" w:rsidRDefault="00E62938" w:rsidP="000F275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>Funding in criminal cases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20" w:type="dxa"/>
          </w:tcPr>
          <w:p w:rsidR="00E62938" w:rsidRPr="000F2750" w:rsidRDefault="00E62938" w:rsidP="000F27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>Role of magistrates</w:t>
            </w:r>
          </w:p>
          <w:p w:rsidR="00E62938" w:rsidRPr="000F2750" w:rsidRDefault="00E62938" w:rsidP="000F27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>Sentencing</w:t>
            </w:r>
            <w:r w:rsidR="00140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20" w:type="dxa"/>
          </w:tcPr>
          <w:p w:rsidR="00E62938" w:rsidRPr="000F2750" w:rsidRDefault="00E62938" w:rsidP="000F275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>Nature and features of criminal law</w:t>
            </w:r>
          </w:p>
          <w:p w:rsidR="00E62938" w:rsidRPr="000F2750" w:rsidRDefault="00E62938" w:rsidP="000F275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>General elements of liability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General elements of liability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Fatal offences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Fatal offences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Fatal offences</w:t>
            </w:r>
          </w:p>
        </w:tc>
        <w:tc>
          <w:tcPr>
            <w:tcW w:w="2851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  <w:r w:rsidR="006A0B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20" w:type="dxa"/>
          </w:tcPr>
          <w:p w:rsidR="00E62938" w:rsidRPr="008852E4" w:rsidRDefault="007810A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Non-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fatal offences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20" w:type="dxa"/>
          </w:tcPr>
          <w:p w:rsidR="00E62938" w:rsidRPr="008852E4" w:rsidRDefault="007810A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Non-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fatal offences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20" w:type="dxa"/>
          </w:tcPr>
          <w:p w:rsidR="00E62938" w:rsidRPr="008852E4" w:rsidRDefault="007810A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Non-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fatal offences</w:t>
            </w:r>
          </w:p>
        </w:tc>
        <w:tc>
          <w:tcPr>
            <w:tcW w:w="2851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20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offences/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attempts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20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offences/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attempts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20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offences/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attempts</w:t>
            </w:r>
          </w:p>
        </w:tc>
        <w:tc>
          <w:tcPr>
            <w:tcW w:w="2851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proofErr w:type="spellStart"/>
            <w:r w:rsidRPr="008852E4">
              <w:rPr>
                <w:rFonts w:ascii="Arial" w:hAnsi="Arial" w:cs="Arial"/>
                <w:sz w:val="22"/>
                <w:szCs w:val="22"/>
              </w:rPr>
              <w:t>defences</w:t>
            </w:r>
            <w:proofErr w:type="spellEnd"/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proofErr w:type="spellStart"/>
            <w:r w:rsidRPr="008852E4">
              <w:rPr>
                <w:rFonts w:ascii="Arial" w:hAnsi="Arial" w:cs="Arial"/>
                <w:sz w:val="22"/>
                <w:szCs w:val="22"/>
              </w:rPr>
              <w:t>defences</w:t>
            </w:r>
            <w:proofErr w:type="spellEnd"/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proofErr w:type="spellStart"/>
            <w:r w:rsidRPr="008852E4">
              <w:rPr>
                <w:rFonts w:ascii="Arial" w:hAnsi="Arial" w:cs="Arial"/>
                <w:sz w:val="22"/>
                <w:szCs w:val="22"/>
              </w:rPr>
              <w:t>defences</w:t>
            </w:r>
            <w:proofErr w:type="spellEnd"/>
          </w:p>
        </w:tc>
        <w:tc>
          <w:tcPr>
            <w:tcW w:w="2851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20" w:type="dxa"/>
          </w:tcPr>
          <w:p w:rsidR="00E62938" w:rsidRPr="008852E4" w:rsidRDefault="007810A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Problem-</w:t>
            </w:r>
            <w:r w:rsidR="000F2750">
              <w:rPr>
                <w:rFonts w:ascii="Arial" w:hAnsi="Arial" w:cs="Arial"/>
                <w:sz w:val="22"/>
                <w:szCs w:val="22"/>
              </w:rPr>
              <w:t>solving skills/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20" w:type="dxa"/>
          </w:tcPr>
          <w:p w:rsidR="00E62938" w:rsidRPr="008852E4" w:rsidRDefault="007810A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Problem-</w:t>
            </w:r>
            <w:r w:rsidR="000F2750">
              <w:rPr>
                <w:rFonts w:ascii="Arial" w:hAnsi="Arial" w:cs="Arial"/>
                <w:sz w:val="22"/>
                <w:szCs w:val="22"/>
              </w:rPr>
              <w:t>solving skills/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720" w:type="dxa"/>
          </w:tcPr>
          <w:p w:rsidR="00E62938" w:rsidRPr="008852E4" w:rsidRDefault="007810A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Role of judges in making law: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 precedent 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Statutory interpretation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Crime theory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72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Law and justice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3720" w:type="dxa"/>
          </w:tcPr>
          <w:p w:rsidR="00E62938" w:rsidRPr="008852E4" w:rsidRDefault="007810A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Law and society: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 fault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720" w:type="dxa"/>
          </w:tcPr>
          <w:p w:rsidR="00E62938" w:rsidRPr="008852E4" w:rsidRDefault="000F2750" w:rsidP="00A25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Revision/</w:t>
            </w:r>
            <w:r w:rsidR="007810A8" w:rsidRPr="008852E4">
              <w:rPr>
                <w:rFonts w:ascii="Arial" w:hAnsi="Arial" w:cs="Arial"/>
                <w:sz w:val="22"/>
                <w:szCs w:val="22"/>
              </w:rPr>
              <w:t>end-of-</w:t>
            </w:r>
            <w:r w:rsidR="00A25259">
              <w:rPr>
                <w:rFonts w:ascii="Arial" w:hAnsi="Arial" w:cs="Arial"/>
                <w:sz w:val="22"/>
                <w:szCs w:val="22"/>
              </w:rPr>
              <w:t>u</w:t>
            </w:r>
            <w:r w:rsidR="00A25259" w:rsidRPr="008852E4">
              <w:rPr>
                <w:rFonts w:ascii="Arial" w:hAnsi="Arial" w:cs="Arial"/>
                <w:sz w:val="22"/>
                <w:szCs w:val="22"/>
              </w:rPr>
              <w:t xml:space="preserve">nit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  <w:tc>
          <w:tcPr>
            <w:tcW w:w="285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CB5" w:rsidRDefault="00A74CB5" w:rsidP="004A236E"/>
    <w:p w:rsidR="00E62938" w:rsidRPr="007810A8" w:rsidRDefault="006D4D53" w:rsidP="004A236E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Paper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730"/>
        <w:gridCol w:w="2841"/>
      </w:tblGrid>
      <w:tr w:rsidR="00E62938" w:rsidTr="00465E84">
        <w:tc>
          <w:tcPr>
            <w:tcW w:w="1843" w:type="dxa"/>
            <w:shd w:val="clear" w:color="auto" w:fill="4F81BD" w:themeFill="accent1"/>
          </w:tcPr>
          <w:p w:rsidR="00E62938" w:rsidRDefault="00CD7CA1" w:rsidP="00E62938">
            <w:r>
              <w:t>Week</w:t>
            </w:r>
          </w:p>
        </w:tc>
        <w:tc>
          <w:tcPr>
            <w:tcW w:w="3730" w:type="dxa"/>
            <w:shd w:val="clear" w:color="auto" w:fill="4F81BD" w:themeFill="accent1"/>
          </w:tcPr>
          <w:p w:rsidR="00E62938" w:rsidRDefault="00E62938" w:rsidP="00E62938">
            <w:r>
              <w:t>Topic</w:t>
            </w:r>
          </w:p>
        </w:tc>
        <w:tc>
          <w:tcPr>
            <w:tcW w:w="2841" w:type="dxa"/>
            <w:shd w:val="clear" w:color="auto" w:fill="4F81BD" w:themeFill="accent1"/>
          </w:tcPr>
          <w:p w:rsidR="00E62938" w:rsidRDefault="00E62938" w:rsidP="00E62938">
            <w:r>
              <w:t>Notes</w:t>
            </w: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Nature of civil law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Civil courts</w:t>
            </w:r>
          </w:p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judge/barristers/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solicitors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0" w:type="dxa"/>
          </w:tcPr>
          <w:p w:rsidR="00E62938" w:rsidRPr="000F2750" w:rsidRDefault="00E62938" w:rsidP="000F275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0F2750">
              <w:rPr>
                <w:rFonts w:ascii="Arial" w:hAnsi="Arial" w:cs="Arial"/>
                <w:sz w:val="22"/>
                <w:szCs w:val="22"/>
              </w:rPr>
              <w:t>Funding</w:t>
            </w:r>
          </w:p>
          <w:p w:rsidR="00E62938" w:rsidRPr="000F2750" w:rsidRDefault="000F2750" w:rsidP="000F275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 dispute resolution (ADR)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Basic negligence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Basic negligence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Basic negligence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Psych</w:t>
            </w:r>
            <w:r w:rsidR="00E4249D" w:rsidRPr="008852E4">
              <w:rPr>
                <w:rFonts w:ascii="Arial" w:hAnsi="Arial" w:cs="Arial"/>
                <w:sz w:val="22"/>
                <w:szCs w:val="22"/>
              </w:rPr>
              <w:t>iatric</w:t>
            </w:r>
            <w:r w:rsidRPr="008852E4">
              <w:rPr>
                <w:rFonts w:ascii="Arial" w:hAnsi="Arial" w:cs="Arial"/>
                <w:sz w:val="22"/>
                <w:szCs w:val="22"/>
              </w:rPr>
              <w:t xml:space="preserve"> injury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30" w:type="dxa"/>
          </w:tcPr>
          <w:p w:rsidR="00E62938" w:rsidRPr="008852E4" w:rsidRDefault="000F2750" w:rsidP="00A25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/</w:t>
            </w:r>
            <w:r w:rsidR="00A25259">
              <w:rPr>
                <w:rFonts w:ascii="Arial" w:hAnsi="Arial" w:cs="Arial"/>
                <w:sz w:val="22"/>
                <w:szCs w:val="22"/>
              </w:rPr>
              <w:t>r</w:t>
            </w:r>
            <w:r w:rsidR="00A25259" w:rsidRPr="008852E4">
              <w:rPr>
                <w:rFonts w:ascii="Arial" w:hAnsi="Arial" w:cs="Arial"/>
                <w:sz w:val="22"/>
                <w:szCs w:val="22"/>
              </w:rPr>
              <w:t>emedies</w:t>
            </w:r>
          </w:p>
        </w:tc>
        <w:tc>
          <w:tcPr>
            <w:tcW w:w="2841" w:type="dxa"/>
          </w:tcPr>
          <w:p w:rsidR="00E62938" w:rsidRPr="008852E4" w:rsidRDefault="00991574" w:rsidP="00465E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</w:t>
            </w:r>
            <w:r w:rsidR="00465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touch evaluation </w:t>
            </w: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 xml:space="preserve">OLA </w:t>
            </w:r>
            <w:r w:rsidR="00E4249D" w:rsidRPr="008852E4">
              <w:rPr>
                <w:rFonts w:ascii="Arial" w:hAnsi="Arial" w:cs="Arial"/>
                <w:sz w:val="22"/>
                <w:szCs w:val="22"/>
              </w:rPr>
              <w:t>19</w:t>
            </w:r>
            <w:r w:rsidRPr="008852E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OLA</w:t>
            </w:r>
            <w:r w:rsidR="00E4249D" w:rsidRPr="008852E4">
              <w:rPr>
                <w:rFonts w:ascii="Arial" w:hAnsi="Arial" w:cs="Arial"/>
                <w:sz w:val="22"/>
                <w:szCs w:val="22"/>
              </w:rPr>
              <w:t xml:space="preserve"> 19</w:t>
            </w:r>
            <w:r w:rsidRPr="008852E4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Nuisance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30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Rylands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Fletcher/</w:t>
            </w:r>
            <w:r w:rsidR="00E4249D" w:rsidRPr="008852E4">
              <w:rPr>
                <w:rFonts w:ascii="Arial" w:hAnsi="Arial" w:cs="Arial"/>
                <w:sz w:val="22"/>
                <w:szCs w:val="22"/>
              </w:rPr>
              <w:t>r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emedies</w:t>
            </w:r>
          </w:p>
        </w:tc>
        <w:tc>
          <w:tcPr>
            <w:tcW w:w="2841" w:type="dxa"/>
          </w:tcPr>
          <w:p w:rsidR="00E62938" w:rsidRPr="008852E4" w:rsidRDefault="00991574" w:rsidP="00465E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</w:t>
            </w:r>
            <w:r w:rsidR="00465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touch evaluation </w:t>
            </w: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Vicarious liability</w:t>
            </w:r>
          </w:p>
        </w:tc>
        <w:tc>
          <w:tcPr>
            <w:tcW w:w="2841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touch evaluation </w:t>
            </w: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30" w:type="dxa"/>
          </w:tcPr>
          <w:p w:rsidR="00E62938" w:rsidRPr="008852E4" w:rsidRDefault="00E4249D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Problem-</w:t>
            </w:r>
            <w:r w:rsidR="000F2750">
              <w:rPr>
                <w:rFonts w:ascii="Arial" w:hAnsi="Arial" w:cs="Arial"/>
                <w:sz w:val="22"/>
                <w:szCs w:val="22"/>
              </w:rPr>
              <w:t>solving skills/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30" w:type="dxa"/>
          </w:tcPr>
          <w:p w:rsidR="00E62938" w:rsidRPr="008852E4" w:rsidRDefault="00E4249D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Problem-</w:t>
            </w:r>
            <w:r w:rsidR="000F2750">
              <w:rPr>
                <w:rFonts w:ascii="Arial" w:hAnsi="Arial" w:cs="Arial"/>
                <w:sz w:val="22"/>
                <w:szCs w:val="22"/>
              </w:rPr>
              <w:t>solving skills/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30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Theory/</w:t>
            </w:r>
            <w:r w:rsidR="00E4249D" w:rsidRPr="008852E4">
              <w:rPr>
                <w:rFonts w:ascii="Arial" w:hAnsi="Arial" w:cs="Arial"/>
                <w:sz w:val="22"/>
                <w:szCs w:val="22"/>
              </w:rPr>
              <w:t>f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ault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30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Parliamentary law making/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law reform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730" w:type="dxa"/>
          </w:tcPr>
          <w:p w:rsidR="00E62938" w:rsidRPr="008852E4" w:rsidRDefault="00E4249D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Law and m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orality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30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2841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2938" w:rsidRPr="00A74CB5" w:rsidRDefault="00E62938" w:rsidP="004A236E">
      <w:pPr>
        <w:rPr>
          <w:rFonts w:ascii="Arial" w:hAnsi="Arial" w:cs="Arial"/>
          <w:sz w:val="22"/>
          <w:szCs w:val="22"/>
        </w:rPr>
      </w:pPr>
    </w:p>
    <w:p w:rsidR="00E62938" w:rsidRPr="007810A8" w:rsidRDefault="006D4D53" w:rsidP="004A236E">
      <w:pPr>
        <w:rPr>
          <w:rFonts w:cs="Arial"/>
          <w:color w:val="0070C0"/>
          <w:sz w:val="32"/>
          <w:szCs w:val="32"/>
        </w:rPr>
      </w:pPr>
      <w:r>
        <w:rPr>
          <w:rFonts w:cs="Arial"/>
          <w:color w:val="0070C0"/>
          <w:sz w:val="32"/>
          <w:szCs w:val="32"/>
        </w:rPr>
        <w:t>Paper 3: c</w:t>
      </w:r>
      <w:r w:rsidR="00E62938" w:rsidRPr="007810A8">
        <w:rPr>
          <w:rFonts w:cs="Arial"/>
          <w:color w:val="0070C0"/>
          <w:sz w:val="32"/>
          <w:szCs w:val="32"/>
        </w:rPr>
        <w:t>ontract</w:t>
      </w:r>
      <w:r>
        <w:rPr>
          <w:rFonts w:cs="Arial"/>
          <w:color w:val="0070C0"/>
          <w:sz w:val="32"/>
          <w:szCs w:val="32"/>
        </w:rPr>
        <w:t xml:space="preserve"> option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2835"/>
      </w:tblGrid>
      <w:tr w:rsidR="00E62938" w:rsidTr="00465E84">
        <w:tc>
          <w:tcPr>
            <w:tcW w:w="1843" w:type="dxa"/>
            <w:shd w:val="clear" w:color="auto" w:fill="4F81BD" w:themeFill="accent1"/>
          </w:tcPr>
          <w:p w:rsidR="00E62938" w:rsidRPr="00CD7CA1" w:rsidRDefault="00CD7CA1" w:rsidP="00E62938">
            <w:r w:rsidRPr="00CD7CA1">
              <w:t>Week</w:t>
            </w:r>
          </w:p>
        </w:tc>
        <w:tc>
          <w:tcPr>
            <w:tcW w:w="3686" w:type="dxa"/>
            <w:shd w:val="clear" w:color="auto" w:fill="4F81BD" w:themeFill="accent1"/>
          </w:tcPr>
          <w:p w:rsidR="00E62938" w:rsidRPr="00CD7CA1" w:rsidRDefault="00E62938" w:rsidP="00E62938">
            <w:r w:rsidRPr="00CD7CA1">
              <w:t>Topic</w:t>
            </w:r>
          </w:p>
        </w:tc>
        <w:tc>
          <w:tcPr>
            <w:tcW w:w="2835" w:type="dxa"/>
            <w:shd w:val="clear" w:color="auto" w:fill="4F81BD" w:themeFill="accent1"/>
          </w:tcPr>
          <w:p w:rsidR="00E62938" w:rsidRPr="00CD7CA1" w:rsidRDefault="00E62938" w:rsidP="00E62938">
            <w:r w:rsidRPr="00CD7CA1">
              <w:t>Notes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law making</w:t>
            </w:r>
            <w:r w:rsidR="008B5F1A" w:rsidRPr="008852E4">
              <w:rPr>
                <w:rFonts w:ascii="Arial" w:hAnsi="Arial" w:cs="Arial"/>
                <w:sz w:val="22"/>
                <w:szCs w:val="22"/>
              </w:rPr>
              <w:t>/ delegated legislation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EU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Judges/courts/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686" w:type="dxa"/>
          </w:tcPr>
          <w:p w:rsidR="00E62938" w:rsidRPr="008852E4" w:rsidRDefault="000F2750" w:rsidP="001407C2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Rule of law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/</w:t>
            </w:r>
            <w:r w:rsidR="008B5F1A" w:rsidRPr="008852E4">
              <w:rPr>
                <w:rFonts w:ascii="Arial" w:hAnsi="Arial" w:cs="Arial"/>
                <w:sz w:val="22"/>
                <w:szCs w:val="22"/>
              </w:rPr>
              <w:t>introduction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1407C2">
              <w:rPr>
                <w:rFonts w:ascii="Arial" w:hAnsi="Arial" w:cs="Arial"/>
                <w:sz w:val="22"/>
                <w:szCs w:val="22"/>
              </w:rPr>
              <w:t>c</w:t>
            </w:r>
            <w:r w:rsidR="001407C2" w:rsidRPr="008852E4">
              <w:rPr>
                <w:rFonts w:ascii="Arial" w:hAnsi="Arial" w:cs="Arial"/>
                <w:sz w:val="22"/>
                <w:szCs w:val="22"/>
              </w:rPr>
              <w:t>ontract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Making of contracts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Making of contracts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Making of contracts</w:t>
            </w:r>
          </w:p>
        </w:tc>
        <w:tc>
          <w:tcPr>
            <w:tcW w:w="2835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terms/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terms under CRA 2015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Terms under CRA 2015</w:t>
            </w:r>
          </w:p>
        </w:tc>
        <w:tc>
          <w:tcPr>
            <w:tcW w:w="2835" w:type="dxa"/>
          </w:tcPr>
          <w:p w:rsidR="00E62938" w:rsidRPr="008852E4" w:rsidRDefault="008B5F1A" w:rsidP="00465E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Light</w:t>
            </w:r>
            <w:r w:rsidR="00465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Exclusion clauses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Exclusion clauses</w:t>
            </w:r>
          </w:p>
        </w:tc>
        <w:tc>
          <w:tcPr>
            <w:tcW w:w="2835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Vitiating factors</w:t>
            </w:r>
          </w:p>
        </w:tc>
        <w:tc>
          <w:tcPr>
            <w:tcW w:w="2835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Discharge of contract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686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Discharge/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remedies</w:t>
            </w:r>
          </w:p>
        </w:tc>
        <w:tc>
          <w:tcPr>
            <w:tcW w:w="2835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</w:t>
            </w:r>
            <w:r w:rsidR="008B5F1A" w:rsidRPr="008852E4">
              <w:rPr>
                <w:rFonts w:ascii="Arial" w:hAnsi="Arial" w:cs="Arial"/>
                <w:sz w:val="22"/>
                <w:szCs w:val="22"/>
              </w:rPr>
              <w:t>-</w:t>
            </w:r>
            <w:r w:rsidR="000F2750">
              <w:rPr>
                <w:rFonts w:ascii="Arial" w:hAnsi="Arial" w:cs="Arial"/>
                <w:sz w:val="22"/>
                <w:szCs w:val="22"/>
              </w:rPr>
              <w:t>solving practice</w:t>
            </w:r>
            <w:r w:rsidR="00465E84">
              <w:rPr>
                <w:rFonts w:ascii="Arial" w:hAnsi="Arial" w:cs="Arial"/>
                <w:sz w:val="22"/>
                <w:szCs w:val="22"/>
              </w:rPr>
              <w:t>/</w:t>
            </w:r>
            <w:r w:rsidRPr="008852E4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</w:t>
            </w:r>
            <w:r w:rsidR="008B5F1A" w:rsidRPr="008852E4">
              <w:rPr>
                <w:rFonts w:ascii="Arial" w:hAnsi="Arial" w:cs="Arial"/>
                <w:sz w:val="22"/>
                <w:szCs w:val="22"/>
              </w:rPr>
              <w:t>-</w:t>
            </w:r>
            <w:r w:rsidR="000F2750">
              <w:rPr>
                <w:rFonts w:ascii="Arial" w:hAnsi="Arial" w:cs="Arial"/>
                <w:sz w:val="22"/>
                <w:szCs w:val="22"/>
              </w:rPr>
              <w:t>solving practice</w:t>
            </w:r>
            <w:r w:rsidR="00465E84">
              <w:rPr>
                <w:rFonts w:ascii="Arial" w:hAnsi="Arial" w:cs="Arial"/>
                <w:sz w:val="22"/>
                <w:szCs w:val="22"/>
              </w:rPr>
              <w:t>/</w:t>
            </w:r>
            <w:r w:rsidRPr="008852E4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86" w:type="dxa"/>
          </w:tcPr>
          <w:p w:rsidR="00E62938" w:rsidRPr="008852E4" w:rsidRDefault="008B5F1A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Problem-</w:t>
            </w:r>
            <w:r w:rsidR="00465E84">
              <w:rPr>
                <w:rFonts w:ascii="Arial" w:hAnsi="Arial" w:cs="Arial"/>
                <w:sz w:val="22"/>
                <w:szCs w:val="22"/>
              </w:rPr>
              <w:t>solving practice/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686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Theory/</w:t>
            </w:r>
            <w:r w:rsidR="008B5F1A" w:rsidRPr="008852E4">
              <w:rPr>
                <w:rFonts w:ascii="Arial" w:hAnsi="Arial" w:cs="Arial"/>
                <w:sz w:val="22"/>
                <w:szCs w:val="22"/>
              </w:rPr>
              <w:t>review of j</w:t>
            </w:r>
            <w:r>
              <w:rPr>
                <w:rFonts w:ascii="Arial" w:hAnsi="Arial" w:cs="Arial"/>
                <w:sz w:val="22"/>
                <w:szCs w:val="22"/>
              </w:rPr>
              <w:t>ustice</w:t>
            </w:r>
            <w:r w:rsidR="00465E84">
              <w:rPr>
                <w:rFonts w:ascii="Arial" w:hAnsi="Arial" w:cs="Arial"/>
                <w:sz w:val="22"/>
                <w:szCs w:val="22"/>
              </w:rPr>
              <w:t>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morality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686" w:type="dxa"/>
          </w:tcPr>
          <w:p w:rsidR="00E62938" w:rsidRPr="008852E4" w:rsidRDefault="008B5F1A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 xml:space="preserve">Law and </w:t>
            </w:r>
            <w:r w:rsidR="00A25259">
              <w:rPr>
                <w:rFonts w:ascii="Arial" w:hAnsi="Arial" w:cs="Arial"/>
                <w:sz w:val="22"/>
                <w:szCs w:val="22"/>
              </w:rPr>
              <w:t>s</w:t>
            </w:r>
            <w:r w:rsidR="00A25259" w:rsidRPr="008852E4">
              <w:rPr>
                <w:rFonts w:ascii="Arial" w:hAnsi="Arial" w:cs="Arial"/>
                <w:sz w:val="22"/>
                <w:szCs w:val="22"/>
              </w:rPr>
              <w:t>ociety</w:t>
            </w:r>
            <w:r w:rsidRPr="008852E4">
              <w:rPr>
                <w:rFonts w:ascii="Arial" w:hAnsi="Arial" w:cs="Arial"/>
                <w:sz w:val="22"/>
                <w:szCs w:val="22"/>
              </w:rPr>
              <w:t>: b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alancing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Tr="00465E84">
        <w:tc>
          <w:tcPr>
            <w:tcW w:w="1843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686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2835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2938" w:rsidRDefault="00E62938" w:rsidP="004A236E"/>
    <w:p w:rsidR="00E62938" w:rsidRPr="007810A8" w:rsidRDefault="006D4D53" w:rsidP="004A236E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Paper 3</w:t>
      </w:r>
      <w:r w:rsidR="00E62938" w:rsidRPr="007810A8">
        <w:rPr>
          <w:color w:val="0070C0"/>
          <w:sz w:val="32"/>
          <w:szCs w:val="32"/>
        </w:rPr>
        <w:t xml:space="preserve">: </w:t>
      </w:r>
      <w:r>
        <w:rPr>
          <w:color w:val="0070C0"/>
          <w:sz w:val="32"/>
          <w:szCs w:val="32"/>
        </w:rPr>
        <w:t>human rights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936"/>
        <w:gridCol w:w="2824"/>
      </w:tblGrid>
      <w:tr w:rsidR="00E62938" w:rsidTr="00E62938">
        <w:tc>
          <w:tcPr>
            <w:tcW w:w="3005" w:type="dxa"/>
            <w:shd w:val="clear" w:color="auto" w:fill="4F81BD" w:themeFill="accent1"/>
          </w:tcPr>
          <w:p w:rsidR="00E62938" w:rsidRPr="00CD7CA1" w:rsidRDefault="00CD7CA1" w:rsidP="00E62938">
            <w:r w:rsidRPr="00CD7CA1">
              <w:t>Week</w:t>
            </w:r>
          </w:p>
        </w:tc>
        <w:tc>
          <w:tcPr>
            <w:tcW w:w="3005" w:type="dxa"/>
            <w:shd w:val="clear" w:color="auto" w:fill="4F81BD" w:themeFill="accent1"/>
          </w:tcPr>
          <w:p w:rsidR="00E62938" w:rsidRPr="00CD7CA1" w:rsidRDefault="00E62938" w:rsidP="00E62938">
            <w:r w:rsidRPr="00CD7CA1">
              <w:t>Topic</w:t>
            </w:r>
          </w:p>
        </w:tc>
        <w:tc>
          <w:tcPr>
            <w:tcW w:w="3006" w:type="dxa"/>
            <w:shd w:val="clear" w:color="auto" w:fill="4F81BD" w:themeFill="accent1"/>
          </w:tcPr>
          <w:p w:rsidR="00E62938" w:rsidRPr="00CD7CA1" w:rsidRDefault="00E62938" w:rsidP="00E62938">
            <w:r w:rsidRPr="00CD7CA1">
              <w:t>Notes</w:t>
            </w: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law making</w:t>
            </w:r>
            <w:r w:rsidR="00CD7CA1" w:rsidRPr="008852E4">
              <w:rPr>
                <w:rFonts w:ascii="Arial" w:hAnsi="Arial" w:cs="Arial"/>
                <w:sz w:val="22"/>
                <w:szCs w:val="22"/>
              </w:rPr>
              <w:t>/ delegated legislation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EU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5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Judges/courts/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05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Rule of law/</w:t>
            </w:r>
            <w:r w:rsidR="00CD7CA1" w:rsidRPr="008852E4">
              <w:rPr>
                <w:rFonts w:ascii="Arial" w:hAnsi="Arial" w:cs="Arial"/>
                <w:sz w:val="22"/>
                <w:szCs w:val="22"/>
              </w:rPr>
              <w:t>introduction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25259">
              <w:rPr>
                <w:rFonts w:ascii="Arial" w:hAnsi="Arial" w:cs="Arial"/>
                <w:sz w:val="22"/>
                <w:szCs w:val="22"/>
              </w:rPr>
              <w:t>h</w:t>
            </w:r>
            <w:r w:rsidR="00A25259" w:rsidRPr="008852E4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="00A25259">
              <w:rPr>
                <w:rFonts w:ascii="Arial" w:hAnsi="Arial" w:cs="Arial"/>
                <w:sz w:val="22"/>
                <w:szCs w:val="22"/>
              </w:rPr>
              <w:t>r</w:t>
            </w:r>
            <w:r w:rsidR="00A25259" w:rsidRPr="008852E4">
              <w:rPr>
                <w:rFonts w:ascii="Arial" w:hAnsi="Arial" w:cs="Arial"/>
                <w:sz w:val="22"/>
                <w:szCs w:val="22"/>
              </w:rPr>
              <w:t>ights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="00A25259">
              <w:rPr>
                <w:rFonts w:ascii="Arial" w:hAnsi="Arial" w:cs="Arial"/>
                <w:sz w:val="22"/>
                <w:szCs w:val="22"/>
              </w:rPr>
              <w:t>r</w:t>
            </w:r>
            <w:r w:rsidR="00A25259" w:rsidRPr="008852E4">
              <w:rPr>
                <w:rFonts w:ascii="Arial" w:hAnsi="Arial" w:cs="Arial"/>
                <w:sz w:val="22"/>
                <w:szCs w:val="22"/>
              </w:rPr>
              <w:t xml:space="preserve">ights </w:t>
            </w:r>
            <w:r w:rsidRPr="008852E4">
              <w:rPr>
                <w:rFonts w:ascii="Arial" w:hAnsi="Arial" w:cs="Arial"/>
                <w:sz w:val="22"/>
                <w:szCs w:val="22"/>
              </w:rPr>
              <w:t>in international law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05" w:type="dxa"/>
          </w:tcPr>
          <w:p w:rsidR="00E62938" w:rsidRPr="008852E4" w:rsidRDefault="00CD7CA1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="00A25259">
              <w:rPr>
                <w:rFonts w:ascii="Arial" w:hAnsi="Arial" w:cs="Arial"/>
                <w:sz w:val="22"/>
                <w:szCs w:val="22"/>
              </w:rPr>
              <w:t>r</w:t>
            </w:r>
            <w:r w:rsidR="00A25259" w:rsidRPr="008852E4">
              <w:rPr>
                <w:rFonts w:ascii="Arial" w:hAnsi="Arial" w:cs="Arial"/>
                <w:sz w:val="22"/>
                <w:szCs w:val="22"/>
              </w:rPr>
              <w:t xml:space="preserve">ights </w:t>
            </w:r>
            <w:r w:rsidRPr="008852E4">
              <w:rPr>
                <w:rFonts w:ascii="Arial" w:hAnsi="Arial" w:cs="Arial"/>
                <w:sz w:val="22"/>
                <w:szCs w:val="22"/>
              </w:rPr>
              <w:t>in the UK pre</w:t>
            </w:r>
            <w:r w:rsidR="00A25259">
              <w:rPr>
                <w:rFonts w:ascii="Arial" w:hAnsi="Arial" w:cs="Arial"/>
                <w:sz w:val="22"/>
                <w:szCs w:val="22"/>
              </w:rPr>
              <w:t>-</w:t>
            </w:r>
            <w:r w:rsidRPr="00885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25259" w:rsidRPr="008852E4">
              <w:rPr>
                <w:rFonts w:ascii="Arial" w:hAnsi="Arial" w:cs="Arial"/>
                <w:sz w:val="22"/>
                <w:szCs w:val="22"/>
              </w:rPr>
              <w:t>post</w:t>
            </w:r>
            <w:r w:rsidR="00A25259">
              <w:rPr>
                <w:rFonts w:ascii="Arial" w:hAnsi="Arial" w:cs="Arial"/>
                <w:sz w:val="22"/>
                <w:szCs w:val="22"/>
              </w:rPr>
              <w:t>-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3006" w:type="dxa"/>
          </w:tcPr>
          <w:p w:rsidR="00E62938" w:rsidRPr="008852E4" w:rsidRDefault="00CD7CA1" w:rsidP="00465E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Light</w:t>
            </w:r>
            <w:r w:rsidR="00465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ECHR Article 2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ECHR Article</w:t>
            </w:r>
            <w:r w:rsidR="00CD7CA1" w:rsidRPr="00885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6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touch evaluation of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lastRenderedPageBreak/>
              <w:t>appropriate topics</w:t>
            </w: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ECHR Article 5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ECHR Article 5</w:t>
            </w:r>
          </w:p>
        </w:tc>
        <w:tc>
          <w:tcPr>
            <w:tcW w:w="3006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ECHR Article 8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ECHR Articles 10 and 11</w:t>
            </w:r>
          </w:p>
        </w:tc>
        <w:tc>
          <w:tcPr>
            <w:tcW w:w="3006" w:type="dxa"/>
          </w:tcPr>
          <w:p w:rsidR="00E62938" w:rsidRPr="008852E4" w:rsidRDefault="00465E84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 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Restrictions and enforcement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="00A25259">
              <w:rPr>
                <w:rFonts w:ascii="Arial" w:hAnsi="Arial" w:cs="Arial"/>
                <w:sz w:val="22"/>
                <w:szCs w:val="22"/>
              </w:rPr>
              <w:t>r</w:t>
            </w:r>
            <w:r w:rsidR="00A25259" w:rsidRPr="008852E4">
              <w:rPr>
                <w:rFonts w:ascii="Arial" w:hAnsi="Arial" w:cs="Arial"/>
                <w:sz w:val="22"/>
                <w:szCs w:val="22"/>
              </w:rPr>
              <w:t xml:space="preserve">ights </w:t>
            </w:r>
            <w:r w:rsidRPr="008852E4">
              <w:rPr>
                <w:rFonts w:ascii="Arial" w:hAnsi="Arial" w:cs="Arial"/>
                <w:sz w:val="22"/>
                <w:szCs w:val="22"/>
              </w:rPr>
              <w:t>and English law</w:t>
            </w:r>
          </w:p>
        </w:tc>
        <w:tc>
          <w:tcPr>
            <w:tcW w:w="3006" w:type="dxa"/>
          </w:tcPr>
          <w:p w:rsidR="00E62938" w:rsidRPr="008852E4" w:rsidRDefault="00E62938" w:rsidP="00465E84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Ligh</w:t>
            </w:r>
            <w:r w:rsidR="00CD7CA1" w:rsidRPr="008852E4">
              <w:rPr>
                <w:rFonts w:ascii="Arial" w:hAnsi="Arial" w:cs="Arial"/>
                <w:sz w:val="22"/>
                <w:szCs w:val="22"/>
              </w:rPr>
              <w:t>t</w:t>
            </w:r>
            <w:r w:rsidR="00465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2E4">
              <w:rPr>
                <w:rFonts w:ascii="Arial" w:hAnsi="Arial" w:cs="Arial"/>
                <w:sz w:val="22"/>
                <w:szCs w:val="22"/>
              </w:rPr>
              <w:t>touch evaluation of appropriate topics</w:t>
            </w: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05" w:type="dxa"/>
          </w:tcPr>
          <w:p w:rsidR="00E62938" w:rsidRPr="008852E4" w:rsidRDefault="00CD7CA1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Problem-</w:t>
            </w:r>
            <w:r w:rsidR="000F2750">
              <w:rPr>
                <w:rFonts w:ascii="Arial" w:hAnsi="Arial" w:cs="Arial"/>
                <w:sz w:val="22"/>
                <w:szCs w:val="22"/>
              </w:rPr>
              <w:t>solving practice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/ skills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05" w:type="dxa"/>
          </w:tcPr>
          <w:p w:rsidR="00E62938" w:rsidRPr="008852E4" w:rsidRDefault="00CD7CA1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Problem-</w:t>
            </w:r>
            <w:r w:rsidR="000F2750">
              <w:rPr>
                <w:rFonts w:ascii="Arial" w:hAnsi="Arial" w:cs="Arial"/>
                <w:sz w:val="22"/>
                <w:szCs w:val="22"/>
              </w:rPr>
              <w:t>solving practice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/ skills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05" w:type="dxa"/>
          </w:tcPr>
          <w:p w:rsidR="00E62938" w:rsidRPr="008852E4" w:rsidRDefault="00CD7CA1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Problem-</w:t>
            </w:r>
            <w:r w:rsidR="000F2750">
              <w:rPr>
                <w:rFonts w:ascii="Arial" w:hAnsi="Arial" w:cs="Arial"/>
                <w:sz w:val="22"/>
                <w:szCs w:val="22"/>
              </w:rPr>
              <w:t>solving practice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/ skills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05" w:type="dxa"/>
          </w:tcPr>
          <w:p w:rsidR="00E62938" w:rsidRPr="008852E4" w:rsidRDefault="000F2750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Theory/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 xml:space="preserve">review of </w:t>
            </w:r>
            <w:r w:rsidR="00A25259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ustice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/ morality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05" w:type="dxa"/>
          </w:tcPr>
          <w:p w:rsidR="00CD7CA1" w:rsidRPr="008852E4" w:rsidRDefault="00CD7CA1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Law and society:</w:t>
            </w:r>
          </w:p>
          <w:p w:rsidR="00E62938" w:rsidRPr="008852E4" w:rsidRDefault="00CD7CA1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b</w:t>
            </w:r>
            <w:r w:rsidR="00E62938" w:rsidRPr="008852E4">
              <w:rPr>
                <w:rFonts w:ascii="Arial" w:hAnsi="Arial" w:cs="Arial"/>
                <w:sz w:val="22"/>
                <w:szCs w:val="22"/>
              </w:rPr>
              <w:t>alancing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938" w:rsidRPr="00A74CB5" w:rsidTr="00951E35">
        <w:tc>
          <w:tcPr>
            <w:tcW w:w="3005" w:type="dxa"/>
          </w:tcPr>
          <w:p w:rsidR="00E62938" w:rsidRPr="008852E4" w:rsidRDefault="00E62938" w:rsidP="00A25259">
            <w:pPr>
              <w:rPr>
                <w:rFonts w:ascii="Arial" w:hAnsi="Arial" w:cs="Arial"/>
                <w:sz w:val="22"/>
                <w:szCs w:val="22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05" w:type="dxa"/>
          </w:tcPr>
          <w:p w:rsidR="00E62938" w:rsidRPr="008852E4" w:rsidRDefault="00E62938" w:rsidP="00951E35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852E4"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3006" w:type="dxa"/>
          </w:tcPr>
          <w:p w:rsidR="00E62938" w:rsidRPr="008852E4" w:rsidRDefault="00E629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2938" w:rsidRPr="00A74CB5" w:rsidRDefault="00E62938" w:rsidP="00A74CB5">
      <w:pPr>
        <w:rPr>
          <w:rFonts w:ascii="Arial" w:hAnsi="Arial" w:cs="Arial"/>
          <w:sz w:val="22"/>
          <w:szCs w:val="22"/>
        </w:rPr>
      </w:pPr>
    </w:p>
    <w:sectPr w:rsidR="00E62938" w:rsidRPr="00A74CB5" w:rsidSect="00465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F2" w:rsidRDefault="006A0BF2" w:rsidP="00B829AB">
      <w:r>
        <w:separator/>
      </w:r>
    </w:p>
  </w:endnote>
  <w:endnote w:type="continuationSeparator" w:id="0">
    <w:p w:rsidR="006A0BF2" w:rsidRDefault="006A0BF2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F2" w:rsidRDefault="006A0BF2" w:rsidP="00B829AB">
      <w:r>
        <w:separator/>
      </w:r>
    </w:p>
  </w:footnote>
  <w:footnote w:type="continuationSeparator" w:id="0">
    <w:p w:rsidR="006A0BF2" w:rsidRDefault="006A0BF2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E63539"/>
    <w:multiLevelType w:val="hybridMultilevel"/>
    <w:tmpl w:val="9C90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6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62F00"/>
    <w:multiLevelType w:val="hybridMultilevel"/>
    <w:tmpl w:val="9790D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8E1029"/>
    <w:multiLevelType w:val="hybridMultilevel"/>
    <w:tmpl w:val="A3AA2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6">
    <w:nsid w:val="70012000"/>
    <w:multiLevelType w:val="hybridMultilevel"/>
    <w:tmpl w:val="6DDE5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A6EB5"/>
    <w:multiLevelType w:val="hybridMultilevel"/>
    <w:tmpl w:val="6546A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0"/>
  </w:num>
  <w:num w:numId="16">
    <w:abstractNumId w:val="13"/>
  </w:num>
  <w:num w:numId="17">
    <w:abstractNumId w:val="12"/>
  </w:num>
  <w:num w:numId="18">
    <w:abstractNumId w:val="27"/>
  </w:num>
  <w:num w:numId="19">
    <w:abstractNumId w:val="21"/>
  </w:num>
  <w:num w:numId="20">
    <w:abstractNumId w:val="22"/>
  </w:num>
  <w:num w:numId="21">
    <w:abstractNumId w:val="14"/>
  </w:num>
  <w:num w:numId="22">
    <w:abstractNumId w:val="29"/>
  </w:num>
  <w:num w:numId="23">
    <w:abstractNumId w:val="16"/>
  </w:num>
  <w:num w:numId="24">
    <w:abstractNumId w:val="24"/>
  </w:num>
  <w:num w:numId="25">
    <w:abstractNumId w:val="17"/>
  </w:num>
  <w:num w:numId="26">
    <w:abstractNumId w:val="23"/>
  </w:num>
  <w:num w:numId="27">
    <w:abstractNumId w:val="18"/>
  </w:num>
  <w:num w:numId="28">
    <w:abstractNumId w:val="19"/>
  </w:num>
  <w:num w:numId="29">
    <w:abstractNumId w:val="26"/>
  </w:num>
  <w:num w:numId="30">
    <w:abstractNumId w:val="9"/>
  </w:num>
  <w:num w:numId="3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C89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F2750"/>
    <w:rsid w:val="000F3A33"/>
    <w:rsid w:val="000F61A7"/>
    <w:rsid w:val="000F6342"/>
    <w:rsid w:val="001011A4"/>
    <w:rsid w:val="00104A23"/>
    <w:rsid w:val="00112436"/>
    <w:rsid w:val="00115D3E"/>
    <w:rsid w:val="00120F78"/>
    <w:rsid w:val="0013557F"/>
    <w:rsid w:val="0013687F"/>
    <w:rsid w:val="00137BC9"/>
    <w:rsid w:val="001407C2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37AA8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1C6B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65E84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236E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3364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2DB4"/>
    <w:rsid w:val="00673E25"/>
    <w:rsid w:val="00682DD0"/>
    <w:rsid w:val="0069554A"/>
    <w:rsid w:val="0069559D"/>
    <w:rsid w:val="00697580"/>
    <w:rsid w:val="006A0BF2"/>
    <w:rsid w:val="006A7F64"/>
    <w:rsid w:val="006B0064"/>
    <w:rsid w:val="006B38D7"/>
    <w:rsid w:val="006C1C11"/>
    <w:rsid w:val="006C2F56"/>
    <w:rsid w:val="006C369F"/>
    <w:rsid w:val="006C3B73"/>
    <w:rsid w:val="006D2272"/>
    <w:rsid w:val="006D4D53"/>
    <w:rsid w:val="006D54A7"/>
    <w:rsid w:val="006D5E95"/>
    <w:rsid w:val="006E1321"/>
    <w:rsid w:val="006E337F"/>
    <w:rsid w:val="006E44B4"/>
    <w:rsid w:val="006E619B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810A8"/>
    <w:rsid w:val="00783530"/>
    <w:rsid w:val="007941B9"/>
    <w:rsid w:val="007A21E6"/>
    <w:rsid w:val="007A2C71"/>
    <w:rsid w:val="007A657A"/>
    <w:rsid w:val="007B46AF"/>
    <w:rsid w:val="007B6079"/>
    <w:rsid w:val="007B68AD"/>
    <w:rsid w:val="007B6F91"/>
    <w:rsid w:val="007C3DB7"/>
    <w:rsid w:val="007C6066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852E4"/>
    <w:rsid w:val="00892603"/>
    <w:rsid w:val="0089406C"/>
    <w:rsid w:val="0089497C"/>
    <w:rsid w:val="00895A90"/>
    <w:rsid w:val="008A025F"/>
    <w:rsid w:val="008A35D9"/>
    <w:rsid w:val="008B4332"/>
    <w:rsid w:val="008B5F1A"/>
    <w:rsid w:val="008C1654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51E35"/>
    <w:rsid w:val="009659F1"/>
    <w:rsid w:val="009673E1"/>
    <w:rsid w:val="00974AF9"/>
    <w:rsid w:val="0098280B"/>
    <w:rsid w:val="00985298"/>
    <w:rsid w:val="009859BE"/>
    <w:rsid w:val="00985BBA"/>
    <w:rsid w:val="00991574"/>
    <w:rsid w:val="009923A1"/>
    <w:rsid w:val="009A7103"/>
    <w:rsid w:val="009B043C"/>
    <w:rsid w:val="009B1BB7"/>
    <w:rsid w:val="009B49FB"/>
    <w:rsid w:val="009B60AD"/>
    <w:rsid w:val="009C30F6"/>
    <w:rsid w:val="009D4B8A"/>
    <w:rsid w:val="009E2F24"/>
    <w:rsid w:val="009E5ED9"/>
    <w:rsid w:val="00A01CC3"/>
    <w:rsid w:val="00A03FD9"/>
    <w:rsid w:val="00A100C0"/>
    <w:rsid w:val="00A128E8"/>
    <w:rsid w:val="00A12D25"/>
    <w:rsid w:val="00A140A6"/>
    <w:rsid w:val="00A14A11"/>
    <w:rsid w:val="00A1617D"/>
    <w:rsid w:val="00A21B95"/>
    <w:rsid w:val="00A225B8"/>
    <w:rsid w:val="00A22D48"/>
    <w:rsid w:val="00A22DF3"/>
    <w:rsid w:val="00A25259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4CB5"/>
    <w:rsid w:val="00A773AC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232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3C4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4E98"/>
    <w:rsid w:val="00C25FA9"/>
    <w:rsid w:val="00C3153C"/>
    <w:rsid w:val="00C32386"/>
    <w:rsid w:val="00C34449"/>
    <w:rsid w:val="00C34F0D"/>
    <w:rsid w:val="00C403C7"/>
    <w:rsid w:val="00C41461"/>
    <w:rsid w:val="00C5075D"/>
    <w:rsid w:val="00C57EC8"/>
    <w:rsid w:val="00C7611A"/>
    <w:rsid w:val="00C762FB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D7CA1"/>
    <w:rsid w:val="00CE32DA"/>
    <w:rsid w:val="00CE4B17"/>
    <w:rsid w:val="00CE76E9"/>
    <w:rsid w:val="00CF0130"/>
    <w:rsid w:val="00CF1279"/>
    <w:rsid w:val="00CF40EC"/>
    <w:rsid w:val="00CF4E94"/>
    <w:rsid w:val="00CF7A0F"/>
    <w:rsid w:val="00D07705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1E4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056A"/>
    <w:rsid w:val="00E4249D"/>
    <w:rsid w:val="00E443CC"/>
    <w:rsid w:val="00E53C4E"/>
    <w:rsid w:val="00E55EF1"/>
    <w:rsid w:val="00E5677F"/>
    <w:rsid w:val="00E62938"/>
    <w:rsid w:val="00E65850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Bold" w:hAnsi="Arial Bold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Bold" w:hAnsi="Arial Bold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qa.org.uk/subjects/law/as-and-a-level/law-7162/teaching-resour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F5E5F-C8C3-45B7-A3C7-E945044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2BDD191F.dotm</Template>
  <TotalTime>3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2017-07-31T09:26:00Z</dcterms:created>
  <dcterms:modified xsi:type="dcterms:W3CDTF">2017-07-31T09:28:00Z</dcterms:modified>
</cp:coreProperties>
</file>