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8E" w:rsidRDefault="002941BC">
      <w:pPr>
        <w:spacing w:before="0"/>
        <w:rPr>
          <w:rFonts w:ascii="AQA Chevin Pro Bold" w:eastAsiaTheme="majorEastAsia" w:hAnsi="AQA Chevin Pro Bold" w:cstheme="majorBidi"/>
          <w:color w:val="262626" w:themeColor="text1" w:themeTint="D9"/>
          <w:spacing w:val="-10"/>
          <w:kern w:val="28"/>
          <w:sz w:val="44"/>
          <w:szCs w:val="60"/>
        </w:rPr>
      </w:pPr>
      <w:r>
        <w:rPr>
          <w:rFonts w:ascii="AQA Chevin Pro Bold" w:eastAsiaTheme="majorEastAsia" w:hAnsi="AQA Chevin Pro Bold" w:cstheme="majorBidi"/>
          <w:noProof/>
          <w:color w:val="262626" w:themeColor="text1" w:themeTint="D9"/>
          <w:spacing w:val="-10"/>
          <w:kern w:val="28"/>
          <w:sz w:val="44"/>
          <w:szCs w:val="60"/>
          <w:lang w:val="en-GB" w:eastAsia="en-GB"/>
        </w:rPr>
        <w:drawing>
          <wp:inline distT="0" distB="0" distL="0" distR="0">
            <wp:extent cx="20193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F8" w:rsidRDefault="00E9748E" w:rsidP="009159F8">
      <w:pPr>
        <w:pStyle w:val="Title"/>
      </w:pPr>
      <w:r>
        <w:t>Scheme of work</w:t>
      </w:r>
    </w:p>
    <w:p w:rsidR="00E9748E" w:rsidRDefault="00E9748E" w:rsidP="00532A67">
      <w:pPr>
        <w:pStyle w:val="AQASectionTitle1"/>
        <w:rPr>
          <w:rFonts w:ascii="Arial" w:hAnsi="Arial" w:cs="Arial"/>
          <w:b w:val="0"/>
          <w:color w:val="auto"/>
          <w:sz w:val="22"/>
          <w:szCs w:val="24"/>
        </w:rPr>
      </w:pPr>
      <w:r w:rsidRPr="00FF29A1">
        <w:rPr>
          <w:rFonts w:ascii="Arial" w:hAnsi="Arial" w:cs="Arial"/>
          <w:b w:val="0"/>
          <w:color w:val="auto"/>
          <w:sz w:val="22"/>
          <w:szCs w:val="24"/>
        </w:rPr>
        <w:t xml:space="preserve">This scheme of work for </w:t>
      </w:r>
      <w:r w:rsidR="001D745C">
        <w:rPr>
          <w:rFonts w:ascii="Arial" w:hAnsi="Arial" w:cs="Arial"/>
          <w:b w:val="0"/>
          <w:color w:val="auto"/>
          <w:sz w:val="22"/>
          <w:szCs w:val="24"/>
        </w:rPr>
        <w:t>A-level Philosophy</w:t>
      </w:r>
      <w:r w:rsidRPr="00FF29A1">
        <w:rPr>
          <w:rFonts w:ascii="Arial" w:hAnsi="Arial" w:cs="Arial"/>
          <w:b w:val="0"/>
          <w:color w:val="auto"/>
          <w:sz w:val="22"/>
          <w:szCs w:val="24"/>
        </w:rPr>
        <w:t xml:space="preserve"> (</w:t>
      </w:r>
      <w:r w:rsidR="001D745C">
        <w:rPr>
          <w:rFonts w:ascii="Arial" w:hAnsi="Arial" w:cs="Arial"/>
          <w:b w:val="0"/>
          <w:color w:val="auto"/>
          <w:sz w:val="22"/>
          <w:szCs w:val="24"/>
        </w:rPr>
        <w:t>717</w:t>
      </w:r>
      <w:r w:rsidRPr="00FF29A1">
        <w:rPr>
          <w:rFonts w:ascii="Arial" w:hAnsi="Arial" w:cs="Arial"/>
          <w:b w:val="0"/>
          <w:color w:val="auto"/>
          <w:sz w:val="22"/>
          <w:szCs w:val="24"/>
        </w:rPr>
        <w:t>2) is designed to help you plan your teaching.</w:t>
      </w:r>
    </w:p>
    <w:p w:rsidR="00E343A0" w:rsidRPr="002941BC" w:rsidRDefault="00D57C18" w:rsidP="002B3F7B">
      <w:pPr>
        <w:pStyle w:val="AQASectionTitle1"/>
        <w:rPr>
          <w:b w:val="0"/>
        </w:rPr>
      </w:pPr>
      <w:r w:rsidRPr="002941BC">
        <w:rPr>
          <w:b w:val="0"/>
        </w:rPr>
        <w:t>What do we mean by ‘mind’?</w:t>
      </w:r>
    </w:p>
    <w:p w:rsidR="00D57C18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t>Introduction</w:t>
      </w:r>
    </w:p>
    <w:tbl>
      <w:tblPr>
        <w:tblStyle w:val="LightList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127"/>
        <w:gridCol w:w="1275"/>
        <w:gridCol w:w="3261"/>
        <w:gridCol w:w="2268"/>
      </w:tblGrid>
      <w:tr w:rsidR="004D0D8A" w:rsidTr="00D42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D0D8A" w:rsidRPr="00E9748E" w:rsidRDefault="004D0D8A" w:rsidP="00E9748E">
            <w:pPr>
              <w:spacing w:before="120" w:after="120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4252" w:type="dxa"/>
          </w:tcPr>
          <w:p w:rsidR="004D0D8A" w:rsidRPr="00E9748E" w:rsidRDefault="004D0D8A" w:rsidP="00E343A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127" w:type="dxa"/>
          </w:tcPr>
          <w:p w:rsidR="004D0D8A" w:rsidRPr="00E9748E" w:rsidRDefault="004D0D8A" w:rsidP="00E343A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1275" w:type="dxa"/>
          </w:tcPr>
          <w:p w:rsidR="004D0D8A" w:rsidRPr="00E9748E" w:rsidRDefault="004D0D8A" w:rsidP="00E343A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3261" w:type="dxa"/>
          </w:tcPr>
          <w:p w:rsidR="004D0D8A" w:rsidRPr="00E9748E" w:rsidRDefault="004D0D8A" w:rsidP="00E343A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4D0D8A" w:rsidRPr="00E9748E" w:rsidRDefault="004D0D8A" w:rsidP="00E343A0">
            <w:pPr>
              <w:tabs>
                <w:tab w:val="left" w:pos="2473"/>
                <w:tab w:val="left" w:pos="2581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4D0D8A" w:rsidTr="00D4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0D8A" w:rsidRPr="002941BC" w:rsidRDefault="004D0D8A" w:rsidP="00D57C18">
            <w:pPr>
              <w:pStyle w:val="TableParagraph"/>
              <w:spacing w:before="120" w:after="120"/>
              <w:ind w:left="0"/>
            </w:pPr>
            <w:r w:rsidRPr="002941BC">
              <w:rPr>
                <w:w w:val="99"/>
              </w:rPr>
              <w:t>1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:rsidR="004D0D8A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7C18">
              <w:rPr>
                <w:rFonts w:ascii="Arial" w:hAnsi="Arial" w:cs="Arial"/>
                <w:sz w:val="22"/>
                <w:szCs w:val="22"/>
              </w:rPr>
              <w:t>A recap of key terms from the AS course and an introduction to the A</w:t>
            </w:r>
            <w:r w:rsidR="002941BC">
              <w:rPr>
                <w:rFonts w:ascii="Arial" w:hAnsi="Arial" w:cs="Arial"/>
                <w:sz w:val="22"/>
                <w:szCs w:val="22"/>
              </w:rPr>
              <w:t>-level</w:t>
            </w:r>
            <w:r w:rsidRPr="00D57C18">
              <w:rPr>
                <w:rFonts w:ascii="Arial" w:hAnsi="Arial" w:cs="Arial"/>
                <w:sz w:val="22"/>
                <w:szCs w:val="22"/>
              </w:rPr>
              <w:t xml:space="preserve"> topics.</w:t>
            </w:r>
          </w:p>
          <w:p w:rsidR="004D0D8A" w:rsidRPr="00D57C18" w:rsidRDefault="004D0D8A" w:rsidP="002941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7C18">
              <w:rPr>
                <w:rFonts w:ascii="Arial" w:hAnsi="Arial" w:cs="Arial"/>
                <w:sz w:val="22"/>
                <w:szCs w:val="22"/>
              </w:rPr>
              <w:t xml:space="preserve">The inclusion of an introduction week assumes that Philosophy of </w:t>
            </w:r>
            <w:r w:rsidR="00F8497A">
              <w:rPr>
                <w:rFonts w:ascii="Arial" w:hAnsi="Arial" w:cs="Arial"/>
                <w:sz w:val="22"/>
                <w:szCs w:val="22"/>
              </w:rPr>
              <w:t>m</w:t>
            </w:r>
            <w:r w:rsidRPr="00D57C18">
              <w:rPr>
                <w:rFonts w:ascii="Arial" w:hAnsi="Arial" w:cs="Arial"/>
                <w:sz w:val="22"/>
                <w:szCs w:val="22"/>
              </w:rPr>
              <w:t>ind is the first topic addressed in the second year of the course. It is intended to provide a bridge from the AS course to the A</w:t>
            </w:r>
            <w:r w:rsidR="002941BC">
              <w:rPr>
                <w:rFonts w:ascii="Arial" w:hAnsi="Arial" w:cs="Arial"/>
                <w:sz w:val="22"/>
                <w:szCs w:val="22"/>
              </w:rPr>
              <w:t>-level</w:t>
            </w:r>
            <w:r w:rsidRPr="00D57C18">
              <w:rPr>
                <w:rFonts w:ascii="Arial" w:hAnsi="Arial" w:cs="Arial"/>
                <w:sz w:val="22"/>
                <w:szCs w:val="22"/>
              </w:rPr>
              <w:t xml:space="preserve"> course after a long summer break.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4D0D8A" w:rsidP="00D57C18">
            <w:pPr>
              <w:pStyle w:val="TableParagraph"/>
              <w:tabs>
                <w:tab w:val="left" w:pos="279"/>
              </w:tabs>
              <w:spacing w:before="120" w:after="12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4D0D8A" w:rsidP="00D57C18">
            <w:pPr>
              <w:pStyle w:val="TableParagraph"/>
              <w:spacing w:before="120" w:after="12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0D8A" w:rsidRPr="00D57C18" w:rsidRDefault="004D0D8A" w:rsidP="00D57C18">
            <w:pPr>
              <w:pStyle w:val="TableParagraph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7C18" w:rsidRDefault="00D57C18" w:rsidP="00630E04">
      <w:pPr>
        <w:pStyle w:val="AQASectionTitle1"/>
      </w:pPr>
    </w:p>
    <w:p w:rsidR="00D57C18" w:rsidRDefault="00D57C18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  <w:r>
        <w:br w:type="page"/>
      </w:r>
      <w:bookmarkStart w:id="0" w:name="_GoBack"/>
      <w:bookmarkEnd w:id="0"/>
    </w:p>
    <w:p w:rsidR="00E9748E" w:rsidRPr="002941BC" w:rsidRDefault="00D57C18" w:rsidP="00630E04">
      <w:pPr>
        <w:pStyle w:val="AQASectionTitle1"/>
        <w:rPr>
          <w:b w:val="0"/>
        </w:rPr>
      </w:pPr>
      <w:r w:rsidRPr="002941BC">
        <w:rPr>
          <w:b w:val="0"/>
        </w:rPr>
        <w:lastRenderedPageBreak/>
        <w:t>Dualist theories</w:t>
      </w:r>
    </w:p>
    <w:p w:rsidR="00D57C18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t>Substance dualism</w:t>
      </w:r>
    </w:p>
    <w:tbl>
      <w:tblPr>
        <w:tblStyle w:val="LightList-Accent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1701"/>
        <w:gridCol w:w="2835"/>
        <w:gridCol w:w="2268"/>
      </w:tblGrid>
      <w:tr w:rsidR="004D0D8A" w:rsidRPr="00E9748E" w:rsidTr="00D42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D0D8A" w:rsidRPr="00E9748E" w:rsidRDefault="004D0D8A" w:rsidP="00AD0346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835" w:type="dxa"/>
          </w:tcPr>
          <w:p w:rsidR="004D0D8A" w:rsidRPr="00E9748E" w:rsidRDefault="004D0D8A" w:rsidP="00AD03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3544" w:type="dxa"/>
          </w:tcPr>
          <w:p w:rsidR="004D0D8A" w:rsidRPr="00E9748E" w:rsidRDefault="004D0D8A" w:rsidP="00AD03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1701" w:type="dxa"/>
          </w:tcPr>
          <w:p w:rsidR="004D0D8A" w:rsidRPr="00E9748E" w:rsidRDefault="004D0D8A" w:rsidP="00AD03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4D0D8A" w:rsidRPr="00E9748E" w:rsidRDefault="004D0D8A" w:rsidP="00AD03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4D0D8A" w:rsidRPr="00E9748E" w:rsidRDefault="004D0D8A" w:rsidP="00AD03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4D0D8A" w:rsidRPr="00D55965" w:rsidTr="00D4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0D8A" w:rsidRPr="002941BC" w:rsidRDefault="004D0D8A" w:rsidP="00AD0346">
            <w:pPr>
              <w:pStyle w:val="TableParagraph"/>
              <w:spacing w:before="120" w:after="120"/>
              <w:ind w:left="-142" w:firstLine="142"/>
            </w:pPr>
            <w:r w:rsidRPr="002941BC">
              <w:rPr>
                <w:w w:val="99"/>
              </w:rPr>
              <w:t>2–3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57C18">
              <w:rPr>
                <w:rFonts w:ascii="Arial" w:hAnsi="Arial" w:cs="Arial"/>
                <w:sz w:val="22"/>
                <w:szCs w:val="20"/>
              </w:rPr>
              <w:t xml:space="preserve">As this is the first discussion of the topic, spend time closely </w:t>
            </w:r>
            <w:proofErr w:type="spellStart"/>
            <w:r w:rsidRPr="00D57C18">
              <w:rPr>
                <w:rFonts w:ascii="Arial" w:hAnsi="Arial" w:cs="Arial"/>
                <w:sz w:val="22"/>
                <w:szCs w:val="20"/>
              </w:rPr>
              <w:t>analysing</w:t>
            </w:r>
            <w:proofErr w:type="spellEnd"/>
            <w:r w:rsidRPr="00D57C18">
              <w:rPr>
                <w:rFonts w:ascii="Arial" w:hAnsi="Arial" w:cs="Arial"/>
                <w:sz w:val="22"/>
                <w:szCs w:val="20"/>
              </w:rPr>
              <w:t xml:space="preserve"> the arguments and how they can be challenged. </w:t>
            </w:r>
          </w:p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57C18">
              <w:rPr>
                <w:rFonts w:ascii="Arial" w:hAnsi="Arial" w:cs="Arial"/>
                <w:sz w:val="22"/>
                <w:szCs w:val="20"/>
              </w:rPr>
              <w:t>Use relevant texts and the study of these as the basis for an</w:t>
            </w:r>
            <w:r w:rsidR="00D422F0">
              <w:rPr>
                <w:rFonts w:ascii="Arial" w:hAnsi="Arial" w:cs="Arial"/>
                <w:sz w:val="22"/>
                <w:szCs w:val="20"/>
              </w:rPr>
              <w:t xml:space="preserve"> initial diagnostic assessment.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9E33E0" w:rsidP="00D57C18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  <w:lang w:eastAsia="en-GB"/>
              </w:rPr>
            </w:pPr>
            <w:r w:rsidRPr="009E33E0">
              <w:rPr>
                <w:rFonts w:ascii="Arial" w:hAnsi="Arial" w:cs="Arial"/>
                <w:sz w:val="22"/>
                <w:szCs w:val="20"/>
                <w:lang w:eastAsia="en-GB"/>
              </w:rPr>
              <w:t xml:space="preserve">Shapiro, L, </w:t>
            </w:r>
            <w:r w:rsidRPr="009E33E0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The correspondence between Princess Elisabeth of Bohemia and René Descartes</w:t>
            </w:r>
          </w:p>
          <w:p w:rsidR="004D0D8A" w:rsidRPr="00D57C18" w:rsidRDefault="009E33E0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9E33E0">
              <w:rPr>
                <w:rFonts w:ascii="Arial" w:hAnsi="Arial" w:cs="Arial"/>
                <w:sz w:val="22"/>
                <w:szCs w:val="20"/>
              </w:rPr>
              <w:t xml:space="preserve">Descartes, R, </w:t>
            </w:r>
            <w:r w:rsidRPr="009E33E0">
              <w:rPr>
                <w:rFonts w:ascii="Arial" w:hAnsi="Arial" w:cs="Arial"/>
                <w:i/>
                <w:sz w:val="22"/>
                <w:szCs w:val="20"/>
              </w:rPr>
              <w:t>Meditations on first philosophy</w:t>
            </w:r>
            <w:r>
              <w:rPr>
                <w:rFonts w:ascii="Arial" w:hAnsi="Arial" w:cs="Arial"/>
                <w:sz w:val="22"/>
                <w:szCs w:val="20"/>
              </w:rPr>
              <w:t>,</w:t>
            </w:r>
            <w:r w:rsidRPr="009E33E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D0D8A" w:rsidRPr="00D57C18">
              <w:rPr>
                <w:rFonts w:ascii="Arial" w:hAnsi="Arial" w:cs="Arial"/>
                <w:sz w:val="22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9144E4" w:rsidRDefault="004D0D8A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</w:t>
            </w:r>
            <w:r w:rsidRPr="009144E4">
              <w:rPr>
                <w:rFonts w:ascii="Arial" w:hAnsi="Arial" w:cs="Arial"/>
                <w:sz w:val="22"/>
                <w:szCs w:val="20"/>
              </w:rPr>
              <w:t>ubstance</w:t>
            </w:r>
          </w:p>
          <w:p w:rsidR="004D0D8A" w:rsidRPr="009144E4" w:rsidRDefault="004D0D8A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</w:t>
            </w:r>
            <w:r w:rsidRPr="009144E4">
              <w:rPr>
                <w:rFonts w:ascii="Arial" w:hAnsi="Arial" w:cs="Arial"/>
                <w:sz w:val="22"/>
                <w:szCs w:val="20"/>
              </w:rPr>
              <w:t>ualism</w:t>
            </w:r>
          </w:p>
          <w:p w:rsidR="004D0D8A" w:rsidRPr="009144E4" w:rsidRDefault="004D0D8A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Pr="009144E4">
              <w:rPr>
                <w:rFonts w:ascii="Arial" w:hAnsi="Arial" w:cs="Arial"/>
                <w:sz w:val="22"/>
                <w:szCs w:val="20"/>
              </w:rPr>
              <w:t>ndividibility</w:t>
            </w:r>
            <w:proofErr w:type="spellEnd"/>
          </w:p>
          <w:p w:rsidR="004D0D8A" w:rsidRPr="009144E4" w:rsidRDefault="004D0D8A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</w:t>
            </w:r>
            <w:r w:rsidRPr="009144E4">
              <w:rPr>
                <w:rFonts w:ascii="Arial" w:hAnsi="Arial" w:cs="Arial"/>
                <w:sz w:val="22"/>
                <w:szCs w:val="20"/>
              </w:rPr>
              <w:t>ental</w:t>
            </w:r>
          </w:p>
          <w:p w:rsidR="004D0D8A" w:rsidRPr="009144E4" w:rsidRDefault="004D0D8A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Pr="009144E4">
              <w:rPr>
                <w:rFonts w:ascii="Arial" w:hAnsi="Arial" w:cs="Arial"/>
                <w:sz w:val="22"/>
                <w:szCs w:val="20"/>
              </w:rPr>
              <w:t>onceivability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4D0D8A" w:rsidRPr="00D57C18" w:rsidRDefault="004D0D8A" w:rsidP="00D57C18">
            <w:pPr>
              <w:pStyle w:val="TableParagraph"/>
              <w:tabs>
                <w:tab w:val="left" w:pos="279"/>
              </w:tabs>
              <w:spacing w:before="120" w:after="120"/>
              <w:ind w:left="0" w:right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D57C18">
              <w:t>nderstanding the definitions of key terms and</w:t>
            </w:r>
            <w:r w:rsidRPr="00D57C18">
              <w:rPr>
                <w:spacing w:val="-9"/>
              </w:rPr>
              <w:t xml:space="preserve"> d</w:t>
            </w:r>
            <w:r w:rsidRPr="00D57C18">
              <w:t>istinctions</w:t>
            </w:r>
            <w:r>
              <w:t>.</w:t>
            </w:r>
          </w:p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D57C18">
              <w:rPr>
                <w:rFonts w:ascii="Arial" w:hAnsi="Arial" w:cs="Arial"/>
                <w:sz w:val="22"/>
              </w:rPr>
              <w:t>nderstanding the nature and structure of arguments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0D8A" w:rsidRPr="00D57C18" w:rsidRDefault="004D0D8A" w:rsidP="00D57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57C18">
              <w:rPr>
                <w:rFonts w:ascii="Arial" w:hAnsi="Arial" w:cs="Arial"/>
                <w:sz w:val="22"/>
                <w:szCs w:val="20"/>
              </w:rPr>
              <w:t>Briefly outline Des</w:t>
            </w:r>
            <w:r>
              <w:rPr>
                <w:rFonts w:ascii="Arial" w:hAnsi="Arial" w:cs="Arial"/>
                <w:sz w:val="22"/>
                <w:szCs w:val="20"/>
              </w:rPr>
              <w:t>cartes’ indivisibility argument</w:t>
            </w:r>
            <w:r w:rsidRPr="00D57C18">
              <w:rPr>
                <w:rFonts w:ascii="Arial" w:hAnsi="Arial" w:cs="Arial"/>
                <w:sz w:val="22"/>
                <w:szCs w:val="20"/>
              </w:rPr>
              <w:t xml:space="preserve"> (5 marks)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:rsidR="00D422F0" w:rsidRDefault="00D422F0" w:rsidP="00D57C18">
      <w:pPr>
        <w:pStyle w:val="AQASectionTitle2"/>
        <w:ind w:left="0"/>
      </w:pPr>
    </w:p>
    <w:p w:rsidR="00D422F0" w:rsidRDefault="00D422F0">
      <w:pPr>
        <w:spacing w:before="0"/>
        <w:rPr>
          <w:rFonts w:eastAsiaTheme="majorEastAsia" w:cstheme="majorBidi"/>
          <w:b/>
          <w:bCs/>
          <w:color w:val="548DD4" w:themeColor="text2" w:themeTint="99"/>
          <w:sz w:val="28"/>
          <w:szCs w:val="32"/>
        </w:rPr>
      </w:pPr>
      <w:r>
        <w:br w:type="page"/>
      </w:r>
    </w:p>
    <w:p w:rsidR="003214AA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lastRenderedPageBreak/>
        <w:t>Property dualism</w:t>
      </w:r>
    </w:p>
    <w:tbl>
      <w:tblPr>
        <w:tblStyle w:val="LightList-Accent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52"/>
        <w:gridCol w:w="2835"/>
        <w:gridCol w:w="2268"/>
      </w:tblGrid>
      <w:tr w:rsidR="00D422F0" w:rsidRPr="00E9748E" w:rsidTr="002D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D422F0" w:rsidRPr="00E9748E" w:rsidRDefault="00D422F0" w:rsidP="0042190C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551" w:type="dxa"/>
          </w:tcPr>
          <w:p w:rsidR="00D422F0" w:rsidRPr="00E9748E" w:rsidRDefault="00D422F0" w:rsidP="0042190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835" w:type="dxa"/>
          </w:tcPr>
          <w:p w:rsidR="00D422F0" w:rsidRPr="00E9748E" w:rsidRDefault="00D422F0" w:rsidP="0041637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552" w:type="dxa"/>
          </w:tcPr>
          <w:p w:rsidR="00D422F0" w:rsidRPr="00E9748E" w:rsidRDefault="00D422F0" w:rsidP="0042190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D422F0" w:rsidRPr="00E9748E" w:rsidRDefault="00D422F0" w:rsidP="0042190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D422F0" w:rsidRPr="00E9748E" w:rsidRDefault="00D422F0" w:rsidP="0042190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D422F0" w:rsidRPr="002432CF" w:rsidTr="002D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22F0" w:rsidRPr="002941BC" w:rsidRDefault="00D422F0" w:rsidP="009144E4">
            <w:pPr>
              <w:pStyle w:val="TableParagraph"/>
              <w:spacing w:before="120" w:after="120"/>
              <w:ind w:left="-142" w:firstLine="142"/>
            </w:pPr>
            <w:r w:rsidRPr="002941BC">
              <w:rPr>
                <w:w w:val="99"/>
              </w:rPr>
              <w:t>4–5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Students to reflect on the implications of this argument for the other theories we have considered.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9144E4" w:rsidRDefault="009E33E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E33E0">
              <w:rPr>
                <w:rFonts w:ascii="Arial" w:hAnsi="Arial" w:cs="Arial"/>
                <w:sz w:val="22"/>
                <w:szCs w:val="22"/>
              </w:rPr>
              <w:t xml:space="preserve">Chalmers D, </w:t>
            </w:r>
            <w:r w:rsidRPr="009E33E0">
              <w:rPr>
                <w:rFonts w:ascii="Arial" w:hAnsi="Arial" w:cs="Arial"/>
                <w:i/>
                <w:sz w:val="22"/>
                <w:szCs w:val="22"/>
              </w:rPr>
              <w:t>Blackwell guide to the philosophy of mind – consciousness and its place in nature</w:t>
            </w:r>
          </w:p>
          <w:p w:rsidR="00D422F0" w:rsidRPr="009144E4" w:rsidRDefault="009E33E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E33E0">
              <w:rPr>
                <w:rFonts w:ascii="Arial" w:hAnsi="Arial" w:cs="Arial"/>
                <w:sz w:val="22"/>
                <w:szCs w:val="22"/>
                <w:lang w:eastAsia="en-GB"/>
              </w:rPr>
              <w:t xml:space="preserve">Jackson F, </w:t>
            </w:r>
            <w:r w:rsidRPr="009E33E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Epiphenomenal Qualia</w:t>
            </w:r>
            <w:r w:rsidR="00D422F0" w:rsidRPr="009E33E0">
              <w:rPr>
                <w:rFonts w:ascii="Arial" w:hAnsi="Arial" w:cs="Arial"/>
                <w:sz w:val="22"/>
                <w:szCs w:val="22"/>
                <w:lang w:eastAsia="en-GB"/>
              </w:rPr>
              <w:t>, 32, 127–136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Property</w:t>
            </w:r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44E4">
              <w:rPr>
                <w:rFonts w:ascii="Arial" w:hAnsi="Arial" w:cs="Arial"/>
                <w:sz w:val="22"/>
                <w:szCs w:val="22"/>
              </w:rPr>
              <w:t>Supervenient</w:t>
            </w:r>
            <w:proofErr w:type="spellEnd"/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Philosophical zombies</w:t>
            </w:r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144E4">
              <w:rPr>
                <w:rFonts w:ascii="Arial" w:hAnsi="Arial" w:cs="Arial"/>
                <w:sz w:val="22"/>
                <w:szCs w:val="22"/>
              </w:rPr>
              <w:t>etaphysically possible</w:t>
            </w:r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144E4">
              <w:rPr>
                <w:rFonts w:ascii="Arial" w:hAnsi="Arial" w:cs="Arial"/>
                <w:sz w:val="22"/>
                <w:szCs w:val="22"/>
              </w:rPr>
              <w:t xml:space="preserve">bility, acquaintance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propositional knowledge 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Discussing the relative merits of different objections to a position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The generation of examples to demonstrate understanding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22F0" w:rsidRPr="009144E4" w:rsidRDefault="00D422F0" w:rsidP="009144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144E4">
              <w:rPr>
                <w:rFonts w:ascii="Arial" w:hAnsi="Arial" w:cs="Arial"/>
                <w:sz w:val="22"/>
                <w:szCs w:val="22"/>
              </w:rPr>
              <w:t>Briefly explain the philosophical zombie argument for property dualism (5 marks)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A5321" w:rsidRDefault="00FA5321">
      <w:r>
        <w:rPr>
          <w:bCs/>
        </w:rPr>
        <w:br w:type="page"/>
      </w:r>
    </w:p>
    <w:p w:rsidR="00A6243A" w:rsidRPr="002941BC" w:rsidRDefault="00D57C18" w:rsidP="0008371A">
      <w:pPr>
        <w:pStyle w:val="AQASectionTitle2"/>
        <w:ind w:left="0"/>
        <w:rPr>
          <w:b w:val="0"/>
        </w:rPr>
      </w:pPr>
      <w:r w:rsidRPr="002941BC">
        <w:rPr>
          <w:b w:val="0"/>
        </w:rPr>
        <w:lastRenderedPageBreak/>
        <w:t>Issues</w:t>
      </w:r>
    </w:p>
    <w:tbl>
      <w:tblPr>
        <w:tblStyle w:val="LightList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2552"/>
        <w:gridCol w:w="2835"/>
        <w:gridCol w:w="2268"/>
      </w:tblGrid>
      <w:tr w:rsidR="00D422F0" w:rsidRPr="00E9748E" w:rsidTr="002D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2F0" w:rsidRPr="00E9748E" w:rsidRDefault="00D422F0" w:rsidP="00FD6C93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693" w:type="dxa"/>
          </w:tcPr>
          <w:p w:rsidR="00D422F0" w:rsidRPr="00E9748E" w:rsidRDefault="00D422F0" w:rsidP="00083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835" w:type="dxa"/>
          </w:tcPr>
          <w:p w:rsidR="00D422F0" w:rsidRPr="00E9748E" w:rsidRDefault="00D422F0" w:rsidP="00083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552" w:type="dxa"/>
          </w:tcPr>
          <w:p w:rsidR="00D422F0" w:rsidRPr="00E9748E" w:rsidRDefault="00D422F0" w:rsidP="007D63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D422F0" w:rsidRPr="00E9748E" w:rsidRDefault="00D422F0" w:rsidP="00083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D422F0" w:rsidRPr="00E9748E" w:rsidRDefault="00D422F0" w:rsidP="00083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D422F0" w:rsidRPr="0041637F" w:rsidTr="002D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22F0" w:rsidRPr="002941BC" w:rsidRDefault="00D422F0" w:rsidP="00D57C18">
            <w:pPr>
              <w:rPr>
                <w:rFonts w:ascii="Arial" w:hAnsi="Arial" w:cs="Arial"/>
                <w:sz w:val="20"/>
                <w:szCs w:val="20"/>
              </w:rPr>
            </w:pPr>
            <w:r w:rsidRPr="002941BC">
              <w:rPr>
                <w:rFonts w:ascii="Arial" w:hAnsi="Arial" w:cs="Arial"/>
                <w:sz w:val="20"/>
                <w:szCs w:val="20"/>
              </w:rPr>
              <w:t>6–7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Students to consider how an argument might be developed based on the question ‘is the mind distinct from the body?’</w:t>
            </w:r>
          </w:p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Extension: Introduction of Wittgenstein’s Private Language Argument as a possible response to the problem of other minds.</w:t>
            </w:r>
          </w:p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Focus on understanding demands of 25 mark questions.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9E33E0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i/>
                <w:sz w:val="22"/>
                <w:lang w:eastAsia="en-GB"/>
              </w:rPr>
            </w:pPr>
            <w:r w:rsidRPr="009E33E0">
              <w:rPr>
                <w:rFonts w:ascii="Arial" w:hAnsi="Arial" w:cs="Arial"/>
                <w:sz w:val="22"/>
                <w:szCs w:val="20"/>
                <w:lang w:eastAsia="en-GB"/>
              </w:rPr>
              <w:t xml:space="preserve">Shapiro, L, </w:t>
            </w:r>
            <w:r w:rsidRPr="009E33E0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The correspondence between Princess Elisabeth of Bohemia and René Descartes</w:t>
            </w:r>
          </w:p>
          <w:p w:rsidR="00D422F0" w:rsidRPr="007D635A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9E33E0">
              <w:rPr>
                <w:rFonts w:ascii="Arial" w:hAnsi="Arial" w:cs="Arial"/>
                <w:sz w:val="22"/>
                <w:szCs w:val="20"/>
              </w:rPr>
              <w:t xml:space="preserve">Descartes, R, </w:t>
            </w:r>
            <w:r w:rsidRPr="009E33E0">
              <w:rPr>
                <w:rFonts w:ascii="Arial" w:hAnsi="Arial" w:cs="Arial"/>
                <w:i/>
                <w:sz w:val="22"/>
                <w:szCs w:val="20"/>
              </w:rPr>
              <w:t>Meditations on first philosophy</w:t>
            </w:r>
            <w:r>
              <w:rPr>
                <w:rFonts w:ascii="Arial" w:hAnsi="Arial" w:cs="Arial"/>
                <w:sz w:val="22"/>
                <w:szCs w:val="20"/>
              </w:rPr>
              <w:t>,</w:t>
            </w:r>
            <w:r w:rsidRPr="009E33E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D57C18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D422F0" w:rsidP="007D635A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Pr="007D635A">
              <w:rPr>
                <w:rFonts w:ascii="Arial" w:hAnsi="Arial" w:cs="Arial"/>
                <w:sz w:val="22"/>
                <w:szCs w:val="20"/>
              </w:rPr>
              <w:t>ategory mistake</w:t>
            </w:r>
          </w:p>
          <w:p w:rsidR="00D422F0" w:rsidRPr="007D635A" w:rsidRDefault="00D422F0" w:rsidP="007D635A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</w:t>
            </w:r>
            <w:r w:rsidRPr="007D635A">
              <w:rPr>
                <w:rFonts w:ascii="Arial" w:hAnsi="Arial" w:cs="Arial"/>
                <w:sz w:val="22"/>
                <w:szCs w:val="20"/>
              </w:rPr>
              <w:t>nalogy</w:t>
            </w:r>
          </w:p>
          <w:p w:rsidR="00D422F0" w:rsidRPr="007D635A" w:rsidRDefault="00D422F0" w:rsidP="007D635A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</w:t>
            </w:r>
            <w:r w:rsidRPr="007D635A">
              <w:rPr>
                <w:rFonts w:ascii="Arial" w:hAnsi="Arial" w:cs="Arial"/>
                <w:sz w:val="22"/>
                <w:szCs w:val="20"/>
              </w:rPr>
              <w:t>ypothesis</w:t>
            </w:r>
          </w:p>
          <w:p w:rsidR="00D422F0" w:rsidRPr="007D635A" w:rsidRDefault="00D422F0" w:rsidP="007D635A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Pr="007D635A">
              <w:rPr>
                <w:rFonts w:ascii="Arial" w:hAnsi="Arial" w:cs="Arial"/>
                <w:sz w:val="22"/>
                <w:szCs w:val="20"/>
              </w:rPr>
              <w:t>nteractionist</w:t>
            </w:r>
          </w:p>
          <w:p w:rsidR="00D422F0" w:rsidRPr="007D635A" w:rsidRDefault="00D422F0" w:rsidP="007D635A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Pr="007D635A">
              <w:rPr>
                <w:rFonts w:ascii="Arial" w:hAnsi="Arial" w:cs="Arial"/>
                <w:sz w:val="22"/>
                <w:szCs w:val="20"/>
              </w:rPr>
              <w:t>mpirical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Discussing the relative merits of different objections to a position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The drawing of and supporting of appropriate conclusions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Students to try and set their own exam-style questions for each other to answer, with supervision.</w:t>
            </w:r>
          </w:p>
        </w:tc>
      </w:tr>
    </w:tbl>
    <w:p w:rsidR="0084517C" w:rsidRDefault="0084517C" w:rsidP="00625378"/>
    <w:p w:rsidR="0053599E" w:rsidRDefault="0053599E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  <w:r>
        <w:br w:type="page"/>
      </w:r>
    </w:p>
    <w:p w:rsidR="0084517C" w:rsidRPr="002941BC" w:rsidRDefault="00D57C18" w:rsidP="0084517C">
      <w:pPr>
        <w:pStyle w:val="AQASectionTitle1"/>
        <w:rPr>
          <w:b w:val="0"/>
        </w:rPr>
      </w:pPr>
      <w:r w:rsidRPr="002941BC">
        <w:rPr>
          <w:b w:val="0"/>
        </w:rPr>
        <w:lastRenderedPageBreak/>
        <w:t>Physicalist theories</w:t>
      </w:r>
    </w:p>
    <w:p w:rsidR="00D57C18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t>Physicalism</w:t>
      </w:r>
    </w:p>
    <w:tbl>
      <w:tblPr>
        <w:tblStyle w:val="LightList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119"/>
        <w:gridCol w:w="2268"/>
        <w:gridCol w:w="2835"/>
        <w:gridCol w:w="2268"/>
      </w:tblGrid>
      <w:tr w:rsidR="00D422F0" w:rsidRPr="00E9748E" w:rsidTr="002D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2F0" w:rsidRPr="00E9748E" w:rsidRDefault="00D422F0" w:rsidP="0084517C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693" w:type="dxa"/>
          </w:tcPr>
          <w:p w:rsidR="00D422F0" w:rsidRPr="00E9748E" w:rsidRDefault="00D422F0" w:rsidP="0053599E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3119" w:type="dxa"/>
          </w:tcPr>
          <w:p w:rsidR="00D422F0" w:rsidRPr="00E9748E" w:rsidRDefault="00D422F0" w:rsidP="008E190F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268" w:type="dxa"/>
          </w:tcPr>
          <w:p w:rsidR="00D422F0" w:rsidRPr="00E9748E" w:rsidRDefault="00D422F0" w:rsidP="0053599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D422F0" w:rsidRPr="00E9748E" w:rsidRDefault="00D422F0" w:rsidP="0053599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D422F0" w:rsidRPr="00E9748E" w:rsidRDefault="00D422F0" w:rsidP="0053599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D422F0" w:rsidRPr="0041637F" w:rsidTr="002D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22F0" w:rsidRPr="002941BC" w:rsidRDefault="00D422F0" w:rsidP="00D57C18">
            <w:pPr>
              <w:rPr>
                <w:rFonts w:ascii="Arial" w:hAnsi="Arial" w:cs="Arial"/>
                <w:sz w:val="20"/>
                <w:szCs w:val="20"/>
              </w:rPr>
            </w:pPr>
            <w:r w:rsidRPr="002941BC">
              <w:rPr>
                <w:rFonts w:ascii="Arial" w:hAnsi="Arial" w:cs="Arial"/>
                <w:sz w:val="20"/>
                <w:szCs w:val="20"/>
              </w:rPr>
              <w:t>8–9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 xml:space="preserve">Chapter 1 in </w:t>
            </w:r>
            <w:r w:rsidRPr="007D635A">
              <w:rPr>
                <w:rFonts w:ascii="Arial" w:hAnsi="Arial" w:cs="Arial"/>
                <w:i/>
                <w:sz w:val="22"/>
                <w:szCs w:val="20"/>
              </w:rPr>
              <w:t xml:space="preserve">The </w:t>
            </w:r>
            <w:r w:rsidR="00DD309D">
              <w:rPr>
                <w:rFonts w:ascii="Arial" w:hAnsi="Arial" w:cs="Arial"/>
                <w:i/>
                <w:sz w:val="22"/>
                <w:szCs w:val="20"/>
              </w:rPr>
              <w:t>c</w:t>
            </w:r>
            <w:r w:rsidRPr="007D635A">
              <w:rPr>
                <w:rFonts w:ascii="Arial" w:hAnsi="Arial" w:cs="Arial"/>
                <w:i/>
                <w:sz w:val="22"/>
                <w:szCs w:val="20"/>
              </w:rPr>
              <w:t xml:space="preserve">oncept of </w:t>
            </w:r>
            <w:r w:rsidR="00DD309D">
              <w:rPr>
                <w:rFonts w:ascii="Arial" w:hAnsi="Arial" w:cs="Arial"/>
                <w:i/>
                <w:sz w:val="22"/>
                <w:szCs w:val="20"/>
              </w:rPr>
              <w:t>m</w:t>
            </w:r>
            <w:r w:rsidRPr="007D635A">
              <w:rPr>
                <w:rFonts w:ascii="Arial" w:hAnsi="Arial" w:cs="Arial"/>
                <w:i/>
                <w:sz w:val="22"/>
                <w:szCs w:val="20"/>
              </w:rPr>
              <w:t>ind</w:t>
            </w:r>
            <w:r w:rsidRPr="007D635A">
              <w:rPr>
                <w:rFonts w:ascii="Arial" w:hAnsi="Arial" w:cs="Arial"/>
                <w:sz w:val="22"/>
                <w:szCs w:val="20"/>
              </w:rPr>
              <w:t xml:space="preserve"> is very accessible. Students can read this independently, especially Ryle’s discussion of category mistakes and examples of these. </w:t>
            </w:r>
          </w:p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Extension for stretch and challenge – Wittgenstein’s private language argument as a response to apparent asymmetry between self-knowledge and knowledge of other people’s mental states.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9E33E0">
              <w:rPr>
                <w:rFonts w:ascii="Arial" w:hAnsi="Arial" w:cs="Arial"/>
                <w:sz w:val="22"/>
                <w:szCs w:val="20"/>
              </w:rPr>
              <w:t xml:space="preserve">Ryle, G, </w:t>
            </w:r>
            <w:r w:rsidRPr="009E33E0">
              <w:rPr>
                <w:rFonts w:ascii="Arial" w:hAnsi="Arial" w:cs="Arial"/>
                <w:i/>
                <w:sz w:val="22"/>
                <w:szCs w:val="20"/>
              </w:rPr>
              <w:t>The concept of mind</w:t>
            </w:r>
          </w:p>
          <w:p w:rsidR="00D422F0" w:rsidRPr="007D635A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9E33E0">
              <w:rPr>
                <w:rFonts w:ascii="Arial" w:hAnsi="Arial" w:cs="Arial"/>
                <w:sz w:val="22"/>
                <w:szCs w:val="20"/>
              </w:rPr>
              <w:t xml:space="preserve">Chalmers D, </w:t>
            </w:r>
            <w:r w:rsidRPr="009E33E0">
              <w:rPr>
                <w:rFonts w:ascii="Arial" w:hAnsi="Arial" w:cs="Arial"/>
                <w:i/>
                <w:sz w:val="22"/>
                <w:szCs w:val="20"/>
              </w:rPr>
              <w:t>Blackwell guide to the philosophy of mind – consciousness and its place in nature</w:t>
            </w:r>
          </w:p>
          <w:p w:rsidR="00D422F0" w:rsidRPr="007D635A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  <w:lang w:eastAsia="en-GB"/>
              </w:rPr>
            </w:pPr>
            <w:r w:rsidRPr="009E33E0">
              <w:rPr>
                <w:rFonts w:ascii="Arial" w:hAnsi="Arial" w:cs="Arial"/>
                <w:sz w:val="22"/>
                <w:szCs w:val="20"/>
                <w:lang w:eastAsia="en-GB"/>
              </w:rPr>
              <w:t xml:space="preserve">Hempel, C, </w:t>
            </w:r>
            <w:r w:rsidRPr="009E33E0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The logical analysis of psychology</w:t>
            </w:r>
            <w:r w:rsidRPr="009E33E0">
              <w:rPr>
                <w:rFonts w:ascii="Arial" w:hAnsi="Arial" w:cs="Arial"/>
                <w:sz w:val="22"/>
                <w:szCs w:val="20"/>
                <w:lang w:eastAsia="en-GB"/>
              </w:rPr>
              <w:t xml:space="preserve">, in Jeffrey, R, Hempel, C, </w:t>
            </w:r>
            <w:r w:rsidRPr="009E33E0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Selected philosophical essays</w:t>
            </w:r>
          </w:p>
          <w:p w:rsidR="00D422F0" w:rsidRPr="007D635A" w:rsidRDefault="009E33E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9E33E0">
              <w:rPr>
                <w:rFonts w:ascii="Arial" w:hAnsi="Arial" w:cs="Arial"/>
                <w:sz w:val="22"/>
                <w:szCs w:val="20"/>
                <w:lang w:eastAsia="en-GB"/>
              </w:rPr>
              <w:t xml:space="preserve">Putnam, H, </w:t>
            </w:r>
            <w:r w:rsidRPr="009E33E0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Mind, language and reality: the nature of mental states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8E190F" w:rsidRDefault="00D422F0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Supervene</w:t>
            </w:r>
          </w:p>
          <w:p w:rsidR="00D422F0" w:rsidRPr="008E190F" w:rsidRDefault="00D422F0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8E190F">
              <w:rPr>
                <w:rFonts w:ascii="Arial" w:hAnsi="Arial" w:cs="Arial"/>
                <w:sz w:val="22"/>
                <w:szCs w:val="20"/>
              </w:rPr>
              <w:t>Behaviourism</w:t>
            </w:r>
            <w:proofErr w:type="spellEnd"/>
          </w:p>
          <w:p w:rsidR="00D422F0" w:rsidRPr="008E190F" w:rsidRDefault="00D422F0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Mental states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Understanding the definitions of key terms and distinctions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>The generation of examples to demonstrate understanding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22F0" w:rsidRPr="007D635A" w:rsidRDefault="00D422F0" w:rsidP="007D63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7D635A">
              <w:rPr>
                <w:rFonts w:ascii="Arial" w:hAnsi="Arial" w:cs="Arial"/>
                <w:sz w:val="22"/>
                <w:szCs w:val="20"/>
              </w:rPr>
              <w:t xml:space="preserve">Can mental states be reduced to </w:t>
            </w:r>
            <w:proofErr w:type="spellStart"/>
            <w:r w:rsidRPr="007D635A">
              <w:rPr>
                <w:rFonts w:ascii="Arial" w:hAnsi="Arial" w:cs="Arial"/>
                <w:sz w:val="22"/>
                <w:szCs w:val="20"/>
              </w:rPr>
              <w:t>behavioural</w:t>
            </w:r>
            <w:proofErr w:type="spellEnd"/>
            <w:r w:rsidRPr="007D635A">
              <w:rPr>
                <w:rFonts w:ascii="Arial" w:hAnsi="Arial" w:cs="Arial"/>
                <w:sz w:val="22"/>
                <w:szCs w:val="20"/>
              </w:rPr>
              <w:t xml:space="preserve"> states? (25 marks)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:rsidR="00625378" w:rsidRDefault="00625378" w:rsidP="0084517C">
      <w:pPr>
        <w:spacing w:before="0"/>
      </w:pPr>
    </w:p>
    <w:p w:rsidR="009E33E0" w:rsidRDefault="009E33E0">
      <w:pPr>
        <w:spacing w:before="0"/>
        <w:rPr>
          <w:rFonts w:eastAsiaTheme="majorEastAsia" w:cstheme="majorBidi"/>
          <w:b/>
          <w:bCs/>
          <w:color w:val="548DD4" w:themeColor="text2" w:themeTint="99"/>
          <w:sz w:val="28"/>
          <w:szCs w:val="32"/>
        </w:rPr>
      </w:pPr>
      <w:r>
        <w:br w:type="page"/>
      </w:r>
    </w:p>
    <w:p w:rsidR="00D57C18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lastRenderedPageBreak/>
        <w:t>Mind-brain type identity theory</w:t>
      </w:r>
    </w:p>
    <w:tbl>
      <w:tblPr>
        <w:tblStyle w:val="LightList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268"/>
        <w:gridCol w:w="2835"/>
        <w:gridCol w:w="2268"/>
      </w:tblGrid>
      <w:tr w:rsidR="002D7551" w:rsidRPr="00E9748E" w:rsidTr="002D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D7551" w:rsidRPr="00E9748E" w:rsidRDefault="002D7551" w:rsidP="00D57C18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268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2D7551" w:rsidRPr="0041637F" w:rsidTr="002D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D7551" w:rsidRPr="002941BC" w:rsidRDefault="002D7551" w:rsidP="008E190F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2941BC">
              <w:rPr>
                <w:rFonts w:ascii="Arial" w:hAnsi="Arial" w:cs="Arial"/>
                <w:sz w:val="22"/>
                <w:szCs w:val="20"/>
              </w:rPr>
              <w:t>10–11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Students from a scientific background can be set a challenge to find evidence that the mind is dependent on the brain as a homework task. This can then be presented to other students as a peer-to-peer teaching activity.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D63675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63675">
              <w:rPr>
                <w:rFonts w:ascii="Arial" w:hAnsi="Arial" w:cs="Arial"/>
                <w:sz w:val="22"/>
                <w:szCs w:val="20"/>
              </w:rPr>
              <w:t xml:space="preserve">Smart, J </w:t>
            </w:r>
            <w:proofErr w:type="spellStart"/>
            <w:r w:rsidRPr="00D63675">
              <w:rPr>
                <w:rFonts w:ascii="Arial" w:hAnsi="Arial" w:cs="Arial"/>
                <w:sz w:val="22"/>
                <w:szCs w:val="20"/>
              </w:rPr>
              <w:t>J</w:t>
            </w:r>
            <w:proofErr w:type="spellEnd"/>
            <w:r w:rsidRPr="00D63675">
              <w:rPr>
                <w:rFonts w:ascii="Arial" w:hAnsi="Arial" w:cs="Arial"/>
                <w:sz w:val="22"/>
                <w:szCs w:val="20"/>
              </w:rPr>
              <w:t xml:space="preserve"> C, </w:t>
            </w:r>
            <w:r w:rsidRPr="00D63675">
              <w:rPr>
                <w:rFonts w:ascii="Arial" w:hAnsi="Arial" w:cs="Arial"/>
                <w:i/>
                <w:sz w:val="22"/>
                <w:szCs w:val="20"/>
              </w:rPr>
              <w:t>The philosophical review: sensations and brain processes</w:t>
            </w:r>
            <w:r w:rsidR="002D7551" w:rsidRPr="008E190F">
              <w:rPr>
                <w:rFonts w:ascii="Arial" w:hAnsi="Arial" w:cs="Arial"/>
                <w:sz w:val="22"/>
                <w:szCs w:val="20"/>
              </w:rPr>
              <w:t>, 68 (2), 141</w:t>
            </w:r>
            <w:r w:rsidR="002941BC">
              <w:rPr>
                <w:rFonts w:ascii="Arial" w:hAnsi="Arial" w:cs="Arial"/>
                <w:sz w:val="22"/>
                <w:szCs w:val="20"/>
              </w:rPr>
              <w:t>–</w:t>
            </w:r>
            <w:r w:rsidR="002D7551" w:rsidRPr="008E190F">
              <w:rPr>
                <w:rFonts w:ascii="Arial" w:hAnsi="Arial" w:cs="Arial"/>
                <w:sz w:val="22"/>
                <w:szCs w:val="20"/>
              </w:rPr>
              <w:t>156</w:t>
            </w:r>
          </w:p>
          <w:p w:rsidR="002D7551" w:rsidRPr="008E190F" w:rsidRDefault="00D63675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63675">
              <w:rPr>
                <w:rFonts w:ascii="Arial" w:hAnsi="Arial" w:cs="Arial"/>
                <w:sz w:val="22"/>
                <w:szCs w:val="20"/>
              </w:rPr>
              <w:t xml:space="preserve">Chalmers D, </w:t>
            </w:r>
            <w:r w:rsidRPr="00D63675">
              <w:rPr>
                <w:rFonts w:ascii="Arial" w:hAnsi="Arial" w:cs="Arial"/>
                <w:i/>
                <w:sz w:val="22"/>
                <w:szCs w:val="20"/>
              </w:rPr>
              <w:t>Blackwell guide to the philosophy of mind – consciousness and its place in nature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Identity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Ontological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</w:t>
            </w:r>
            <w:r w:rsidRPr="008E190F">
              <w:rPr>
                <w:rFonts w:ascii="Arial" w:hAnsi="Arial" w:cs="Arial"/>
                <w:sz w:val="22"/>
                <w:szCs w:val="20"/>
              </w:rPr>
              <w:t>nalytic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Understanding the nature and structure of arguments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The drawing of and supporting of appropriate conclusions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Brief</w:t>
            </w:r>
            <w:r>
              <w:rPr>
                <w:rFonts w:ascii="Arial" w:hAnsi="Arial" w:cs="Arial"/>
                <w:sz w:val="22"/>
                <w:szCs w:val="20"/>
              </w:rPr>
              <w:t>ly explain the location problem</w:t>
            </w:r>
            <w:r w:rsidRPr="008E190F">
              <w:rPr>
                <w:rFonts w:ascii="Arial" w:hAnsi="Arial" w:cs="Arial"/>
                <w:sz w:val="22"/>
                <w:szCs w:val="20"/>
              </w:rPr>
              <w:t xml:space="preserve"> (5 marks)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:rsidR="00D57C18" w:rsidRPr="002941BC" w:rsidRDefault="00D57C18" w:rsidP="00D57C18">
      <w:pPr>
        <w:pStyle w:val="AQASectionTitle2"/>
        <w:ind w:left="0"/>
        <w:rPr>
          <w:b w:val="0"/>
        </w:rPr>
      </w:pPr>
      <w:r w:rsidRPr="002941BC">
        <w:rPr>
          <w:b w:val="0"/>
        </w:rPr>
        <w:t>Elim</w:t>
      </w:r>
      <w:r w:rsidR="009E33E0" w:rsidRPr="002941BC">
        <w:rPr>
          <w:b w:val="0"/>
        </w:rPr>
        <w:t>i</w:t>
      </w:r>
      <w:r w:rsidRPr="002941BC">
        <w:rPr>
          <w:b w:val="0"/>
        </w:rPr>
        <w:t>native materialism</w:t>
      </w:r>
    </w:p>
    <w:tbl>
      <w:tblPr>
        <w:tblStyle w:val="LightList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268"/>
        <w:gridCol w:w="2835"/>
        <w:gridCol w:w="2268"/>
      </w:tblGrid>
      <w:tr w:rsidR="002D7551" w:rsidRPr="00E9748E" w:rsidTr="002D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D7551" w:rsidRPr="00E9748E" w:rsidRDefault="002D7551" w:rsidP="00D57C18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268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2D7551" w:rsidRPr="00E9748E" w:rsidRDefault="002D7551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2D7551" w:rsidRPr="0041637F" w:rsidTr="002D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D7551" w:rsidRPr="002941BC" w:rsidRDefault="002D7551" w:rsidP="008E190F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2941BC">
              <w:rPr>
                <w:rFonts w:ascii="Arial" w:hAnsi="Arial" w:cs="Arial"/>
                <w:sz w:val="22"/>
                <w:szCs w:val="20"/>
              </w:rPr>
              <w:t>12–13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 xml:space="preserve">Stress the radical distinction between this form of materialism and reductive materialism. 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D63675" w:rsidP="00D6367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D63675">
              <w:rPr>
                <w:rFonts w:ascii="Arial" w:hAnsi="Arial" w:cs="Arial"/>
                <w:sz w:val="22"/>
                <w:szCs w:val="20"/>
              </w:rPr>
              <w:t>Churchland</w:t>
            </w:r>
            <w:proofErr w:type="spellEnd"/>
            <w:r w:rsidRPr="00D63675">
              <w:rPr>
                <w:rFonts w:ascii="Arial" w:hAnsi="Arial" w:cs="Arial"/>
                <w:sz w:val="22"/>
                <w:szCs w:val="20"/>
              </w:rPr>
              <w:t xml:space="preserve">, P M, </w:t>
            </w:r>
            <w:r w:rsidRPr="00D63675">
              <w:rPr>
                <w:rFonts w:ascii="Arial" w:hAnsi="Arial" w:cs="Arial"/>
                <w:i/>
                <w:sz w:val="22"/>
                <w:szCs w:val="20"/>
              </w:rPr>
              <w:t>Eliminative materialism and propositional attitudes</w:t>
            </w:r>
            <w:r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="002941BC">
              <w:rPr>
                <w:rFonts w:ascii="Arial" w:hAnsi="Arial" w:cs="Arial"/>
                <w:sz w:val="22"/>
                <w:szCs w:val="20"/>
              </w:rPr>
              <w:t>78, 67–</w:t>
            </w:r>
            <w:r w:rsidR="002D7551" w:rsidRPr="008E190F">
              <w:rPr>
                <w:rFonts w:ascii="Arial" w:hAnsi="Arial" w:cs="Arial"/>
                <w:sz w:val="22"/>
                <w:szCs w:val="20"/>
              </w:rPr>
              <w:t xml:space="preserve">90 </w:t>
            </w:r>
            <w:r w:rsidR="002D7551" w:rsidRPr="00D63675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</w:t>
            </w:r>
            <w:r w:rsidR="002D7551" w:rsidRPr="00D63675">
              <w:rPr>
                <w:rFonts w:ascii="Arial" w:hAnsi="Arial" w:cs="Arial"/>
                <w:sz w:val="22"/>
                <w:szCs w:val="20"/>
              </w:rPr>
              <w:t xml:space="preserve">ection 2 </w:t>
            </w:r>
            <w:r>
              <w:rPr>
                <w:rFonts w:ascii="Arial" w:hAnsi="Arial" w:cs="Arial"/>
                <w:sz w:val="22"/>
                <w:szCs w:val="20"/>
              </w:rPr>
              <w:t>–</w:t>
            </w:r>
            <w:r w:rsidR="002D7551" w:rsidRPr="00D6367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47E70">
              <w:rPr>
                <w:rFonts w:ascii="Arial" w:hAnsi="Arial" w:cs="Arial"/>
                <w:i/>
                <w:iCs/>
                <w:sz w:val="22"/>
                <w:szCs w:val="20"/>
              </w:rPr>
              <w:t>w</w:t>
            </w:r>
            <w:r w:rsidR="002D7551" w:rsidRPr="00947E70">
              <w:rPr>
                <w:rFonts w:ascii="Arial" w:hAnsi="Arial" w:cs="Arial"/>
                <w:i/>
                <w:iCs/>
                <w:sz w:val="22"/>
                <w:szCs w:val="20"/>
              </w:rPr>
              <w:t>hy folk psychology might (really) be false</w:t>
            </w:r>
            <w:r w:rsidR="002D7551" w:rsidRPr="00D63675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</w:t>
            </w:r>
            <w:r w:rsidRPr="008E190F">
              <w:rPr>
                <w:rFonts w:ascii="Arial" w:hAnsi="Arial" w:cs="Arial"/>
                <w:sz w:val="22"/>
                <w:szCs w:val="20"/>
              </w:rPr>
              <w:t>olk-psychology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Pr="008E190F">
              <w:rPr>
                <w:rFonts w:ascii="Arial" w:hAnsi="Arial" w:cs="Arial"/>
                <w:sz w:val="22"/>
                <w:szCs w:val="20"/>
              </w:rPr>
              <w:t>ertainty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</w:t>
            </w:r>
            <w:r w:rsidRPr="008E190F">
              <w:rPr>
                <w:rFonts w:ascii="Arial" w:hAnsi="Arial" w:cs="Arial"/>
                <w:sz w:val="22"/>
                <w:szCs w:val="20"/>
              </w:rPr>
              <w:t>ypothesis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</w:t>
            </w:r>
            <w:r w:rsidRPr="008E190F">
              <w:rPr>
                <w:rFonts w:ascii="Arial" w:hAnsi="Arial" w:cs="Arial"/>
                <w:sz w:val="22"/>
                <w:szCs w:val="20"/>
              </w:rPr>
              <w:t>aterialism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</w:t>
            </w:r>
            <w:r w:rsidRPr="008E190F">
              <w:rPr>
                <w:rFonts w:ascii="Arial" w:hAnsi="Arial" w:cs="Arial"/>
                <w:sz w:val="22"/>
                <w:szCs w:val="20"/>
              </w:rPr>
              <w:t>elf-refuting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Understanding the definitions of key terms and distinctions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D7551" w:rsidRPr="008E190F" w:rsidRDefault="002D7551" w:rsidP="008E19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The generation of examples to demonstrate understanding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D7551" w:rsidRPr="008E190F" w:rsidRDefault="002D7551" w:rsidP="00E62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8E190F">
              <w:rPr>
                <w:rFonts w:ascii="Arial" w:hAnsi="Arial" w:cs="Arial"/>
                <w:sz w:val="22"/>
                <w:szCs w:val="20"/>
              </w:rPr>
              <w:t>Assess eliminative materialism (25 marks)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:rsidR="002D7551" w:rsidRDefault="002D7551" w:rsidP="00D57C18">
      <w:pPr>
        <w:pStyle w:val="AQASectionTitle1"/>
      </w:pPr>
    </w:p>
    <w:p w:rsidR="002D7551" w:rsidRDefault="002D7551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  <w:r>
        <w:br w:type="page"/>
      </w:r>
    </w:p>
    <w:p w:rsidR="00D57C18" w:rsidRPr="002941BC" w:rsidRDefault="00D57C18" w:rsidP="00D57C18">
      <w:pPr>
        <w:pStyle w:val="AQASectionTitle1"/>
        <w:rPr>
          <w:b w:val="0"/>
        </w:rPr>
      </w:pPr>
      <w:r w:rsidRPr="002941BC">
        <w:rPr>
          <w:b w:val="0"/>
        </w:rPr>
        <w:lastRenderedPageBreak/>
        <w:t>Functionalism</w:t>
      </w:r>
    </w:p>
    <w:tbl>
      <w:tblPr>
        <w:tblStyle w:val="LightList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268"/>
        <w:gridCol w:w="2835"/>
        <w:gridCol w:w="2268"/>
      </w:tblGrid>
      <w:tr w:rsidR="001A2916" w:rsidRPr="00E9748E" w:rsidTr="001A2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A2916" w:rsidRPr="00E9748E" w:rsidRDefault="001A2916" w:rsidP="00D57C18">
            <w:pPr>
              <w:spacing w:before="120" w:after="120"/>
              <w:ind w:left="-142" w:firstLine="142"/>
              <w:rPr>
                <w:b/>
              </w:rPr>
            </w:pPr>
            <w:r w:rsidRPr="00E9748E">
              <w:rPr>
                <w:b/>
              </w:rPr>
              <w:t>Week</w:t>
            </w:r>
          </w:p>
        </w:tc>
        <w:tc>
          <w:tcPr>
            <w:tcW w:w="2835" w:type="dxa"/>
          </w:tcPr>
          <w:p w:rsidR="001A2916" w:rsidRPr="00E9748E" w:rsidRDefault="001A2916" w:rsidP="00E622C5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Teaching notes</w:t>
            </w:r>
          </w:p>
        </w:tc>
        <w:tc>
          <w:tcPr>
            <w:tcW w:w="2835" w:type="dxa"/>
          </w:tcPr>
          <w:p w:rsidR="001A2916" w:rsidRPr="00E9748E" w:rsidRDefault="001A2916" w:rsidP="00E622C5">
            <w:p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Anthology references</w:t>
            </w:r>
          </w:p>
        </w:tc>
        <w:tc>
          <w:tcPr>
            <w:tcW w:w="2268" w:type="dxa"/>
          </w:tcPr>
          <w:p w:rsidR="001A2916" w:rsidRPr="00E9748E" w:rsidRDefault="001A2916" w:rsidP="00E622C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Key concepts</w:t>
            </w:r>
          </w:p>
        </w:tc>
        <w:tc>
          <w:tcPr>
            <w:tcW w:w="2835" w:type="dxa"/>
          </w:tcPr>
          <w:p w:rsidR="001A2916" w:rsidRPr="00E9748E" w:rsidRDefault="001A2916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Skills development</w:t>
            </w:r>
          </w:p>
        </w:tc>
        <w:tc>
          <w:tcPr>
            <w:tcW w:w="2268" w:type="dxa"/>
          </w:tcPr>
          <w:p w:rsidR="001A2916" w:rsidRPr="00E9748E" w:rsidRDefault="001A2916" w:rsidP="00D57C1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748E">
              <w:rPr>
                <w:b/>
              </w:rPr>
              <w:t>Assessment</w:t>
            </w:r>
          </w:p>
        </w:tc>
      </w:tr>
      <w:tr w:rsidR="001A2916" w:rsidRPr="0041637F" w:rsidTr="001A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916" w:rsidRPr="002941BC" w:rsidRDefault="001A2916" w:rsidP="00E622C5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2941BC">
              <w:rPr>
                <w:rFonts w:ascii="Arial" w:hAnsi="Arial" w:cs="Arial"/>
                <w:sz w:val="22"/>
                <w:szCs w:val="20"/>
              </w:rPr>
              <w:t>14</w:t>
            </w:r>
            <w:r w:rsidR="002941BC" w:rsidRPr="002941BC">
              <w:rPr>
                <w:rFonts w:ascii="Arial" w:hAnsi="Arial" w:cs="Arial"/>
                <w:sz w:val="22"/>
                <w:szCs w:val="20"/>
              </w:rPr>
              <w:t>–</w:t>
            </w:r>
            <w:r w:rsidRPr="002941BC">
              <w:rPr>
                <w:rFonts w:ascii="Arial" w:hAnsi="Arial" w:cs="Arial"/>
                <w:sz w:val="22"/>
                <w:szCs w:val="20"/>
              </w:rPr>
              <w:t>15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1A2916" w:rsidRDefault="001A2916" w:rsidP="00E622C5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 xml:space="preserve">Excellent opportunity to use selected clips from films that are based on the concept of AI, and student understanding of functionalism </w:t>
            </w:r>
            <w:r>
              <w:rPr>
                <w:rFonts w:ascii="Arial" w:hAnsi="Arial" w:cs="Arial"/>
                <w:sz w:val="22"/>
                <w:szCs w:val="20"/>
              </w:rPr>
              <w:t>can be consolidated by these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Pr="00E622C5">
              <w:rPr>
                <w:rFonts w:ascii="Arial" w:hAnsi="Arial" w:cs="Arial"/>
                <w:sz w:val="22"/>
                <w:szCs w:val="20"/>
              </w:rPr>
              <w:t>g</w:t>
            </w:r>
            <w:proofErr w:type="spellEnd"/>
            <w:r w:rsidRPr="00E622C5">
              <w:rPr>
                <w:rFonts w:ascii="Arial" w:hAnsi="Arial" w:cs="Arial"/>
                <w:sz w:val="22"/>
                <w:szCs w:val="20"/>
              </w:rPr>
              <w:t xml:space="preserve"> AI,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Pr="00E622C5">
              <w:rPr>
                <w:rFonts w:ascii="Arial" w:hAnsi="Arial" w:cs="Arial"/>
                <w:sz w:val="22"/>
                <w:szCs w:val="20"/>
              </w:rPr>
              <w:t>Robot,</w:t>
            </w:r>
            <w:r w:rsidR="00D7462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E622C5">
              <w:rPr>
                <w:rFonts w:ascii="Arial" w:hAnsi="Arial" w:cs="Arial"/>
                <w:sz w:val="22"/>
                <w:szCs w:val="20"/>
              </w:rPr>
              <w:t>Ex Machina)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1A2916" w:rsidRPr="00E622C5" w:rsidRDefault="001A2916" w:rsidP="00E622C5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There are many clips of Dan Dennett and Ned Block discussing consciousness that are easily accessed on YouTube that may be useful</w:t>
            </w:r>
            <w:r>
              <w:rPr>
                <w:rFonts w:ascii="Arial" w:hAnsi="Arial" w:cs="Arial"/>
                <w:sz w:val="22"/>
                <w:szCs w:val="20"/>
              </w:rPr>
              <w:t xml:space="preserve"> as a stimulant to discussion. 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1A2916" w:rsidRDefault="00D63675" w:rsidP="00E622C5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  <w:lang w:eastAsia="en-GB"/>
              </w:rPr>
            </w:pPr>
            <w:r w:rsidRPr="00D63675">
              <w:rPr>
                <w:rFonts w:ascii="Arial" w:hAnsi="Arial" w:cs="Arial"/>
                <w:sz w:val="22"/>
                <w:szCs w:val="20"/>
                <w:lang w:eastAsia="en-GB"/>
              </w:rPr>
              <w:t xml:space="preserve">Putnam, H, </w:t>
            </w:r>
            <w:r w:rsidRPr="00D63675">
              <w:rPr>
                <w:rFonts w:ascii="Arial" w:hAnsi="Arial" w:cs="Arial"/>
                <w:i/>
                <w:sz w:val="22"/>
                <w:szCs w:val="20"/>
                <w:lang w:eastAsia="en-GB"/>
              </w:rPr>
              <w:t>Mind, language and reality: the nature of mental states</w:t>
            </w:r>
          </w:p>
          <w:p w:rsidR="001A2916" w:rsidRPr="00E622C5" w:rsidRDefault="00D63675" w:rsidP="00947E70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D63675">
              <w:rPr>
                <w:rFonts w:ascii="Arial" w:hAnsi="Arial" w:cs="Arial"/>
                <w:sz w:val="22"/>
                <w:szCs w:val="20"/>
              </w:rPr>
              <w:t xml:space="preserve">Block, N, </w:t>
            </w:r>
            <w:r w:rsidRPr="00D63675">
              <w:rPr>
                <w:rFonts w:ascii="Arial" w:hAnsi="Arial" w:cs="Arial"/>
                <w:i/>
                <w:sz w:val="22"/>
                <w:szCs w:val="20"/>
              </w:rPr>
              <w:t>Readings in philosophy of psychology – troubles with functionalism</w:t>
            </w:r>
            <w:r>
              <w:rPr>
                <w:rFonts w:ascii="Arial" w:hAnsi="Arial" w:cs="Arial"/>
                <w:sz w:val="22"/>
                <w:szCs w:val="20"/>
              </w:rPr>
              <w:t>, s</w:t>
            </w:r>
            <w:r w:rsidR="001A2916">
              <w:rPr>
                <w:rFonts w:ascii="Arial" w:hAnsi="Arial" w:cs="Arial"/>
                <w:sz w:val="22"/>
                <w:szCs w:val="20"/>
              </w:rPr>
              <w:t>ection 1.2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916" w:rsidRPr="00E622C5" w:rsidRDefault="001A2916" w:rsidP="00B1060B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Function</w:t>
            </w:r>
          </w:p>
          <w:p w:rsidR="001A2916" w:rsidRPr="00E622C5" w:rsidRDefault="001A2916" w:rsidP="00B1060B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Qualia</w:t>
            </w:r>
          </w:p>
          <w:p w:rsidR="001A2916" w:rsidRPr="00E622C5" w:rsidRDefault="001A2916" w:rsidP="00B1060B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</w:t>
            </w:r>
            <w:r w:rsidRPr="00E622C5">
              <w:rPr>
                <w:rFonts w:ascii="Arial" w:hAnsi="Arial" w:cs="Arial"/>
                <w:sz w:val="22"/>
                <w:szCs w:val="20"/>
              </w:rPr>
              <w:t>entality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1A2916" w:rsidRPr="00E622C5" w:rsidRDefault="001A2916" w:rsidP="00E62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The drawing of and supporting of appropriate conclusions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1A2916" w:rsidRPr="00E622C5" w:rsidRDefault="001A2916" w:rsidP="00E62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Discussing the relative merits of different objections to a position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916" w:rsidRPr="00E622C5" w:rsidRDefault="001A2916" w:rsidP="00E622C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>How might qualia be problematic for functionalism? (12 marks)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1A2916" w:rsidRPr="0041637F" w:rsidTr="001A2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A2916" w:rsidRPr="002941BC" w:rsidRDefault="001A2916" w:rsidP="00E622C5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2941BC">
              <w:rPr>
                <w:rFonts w:ascii="Arial" w:hAnsi="Arial" w:cs="Arial"/>
                <w:sz w:val="22"/>
                <w:szCs w:val="20"/>
              </w:rPr>
              <w:t>16</w:t>
            </w:r>
          </w:p>
        </w:tc>
        <w:tc>
          <w:tcPr>
            <w:tcW w:w="2835" w:type="dxa"/>
          </w:tcPr>
          <w:p w:rsidR="001A2916" w:rsidRPr="00E622C5" w:rsidRDefault="001A2916" w:rsidP="00B1060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E622C5">
              <w:rPr>
                <w:rFonts w:ascii="Arial" w:hAnsi="Arial" w:cs="Arial"/>
                <w:sz w:val="22"/>
                <w:szCs w:val="20"/>
              </w:rPr>
              <w:t xml:space="preserve">Revision and </w:t>
            </w:r>
            <w:r>
              <w:rPr>
                <w:rFonts w:ascii="Arial" w:hAnsi="Arial" w:cs="Arial"/>
                <w:sz w:val="22"/>
                <w:szCs w:val="20"/>
              </w:rPr>
              <w:t>mock e</w:t>
            </w:r>
            <w:r w:rsidRPr="00E622C5">
              <w:rPr>
                <w:rFonts w:ascii="Arial" w:hAnsi="Arial" w:cs="Arial"/>
                <w:sz w:val="22"/>
                <w:szCs w:val="20"/>
              </w:rPr>
              <w:t>xam</w:t>
            </w:r>
          </w:p>
        </w:tc>
        <w:tc>
          <w:tcPr>
            <w:tcW w:w="2835" w:type="dxa"/>
          </w:tcPr>
          <w:p w:rsidR="001A2916" w:rsidRPr="00F5433A" w:rsidRDefault="001A2916" w:rsidP="00E622C5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916" w:rsidRPr="00F5433A" w:rsidRDefault="001A2916" w:rsidP="00E62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2916" w:rsidRPr="00F5433A" w:rsidRDefault="001A2916" w:rsidP="00E62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916" w:rsidRPr="00F5433A" w:rsidRDefault="001A2916" w:rsidP="00E62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C18" w:rsidRPr="00625378" w:rsidRDefault="00D57C18" w:rsidP="0084517C">
      <w:pPr>
        <w:spacing w:before="0"/>
      </w:pPr>
    </w:p>
    <w:sectPr w:rsidR="00D57C18" w:rsidRPr="00625378" w:rsidSect="00E974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E0" w:rsidRDefault="009E33E0" w:rsidP="00B829AB">
      <w:r>
        <w:separator/>
      </w:r>
    </w:p>
  </w:endnote>
  <w:endnote w:type="continuationSeparator" w:id="0">
    <w:p w:rsidR="009E33E0" w:rsidRDefault="009E33E0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altName w:val="AQA Chevin Pro Light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E0" w:rsidRDefault="009E33E0" w:rsidP="00B829AB">
      <w:r>
        <w:separator/>
      </w:r>
    </w:p>
  </w:footnote>
  <w:footnote w:type="continuationSeparator" w:id="0">
    <w:p w:rsidR="009E33E0" w:rsidRDefault="009E33E0" w:rsidP="00B8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50194B"/>
    <w:multiLevelType w:val="hybridMultilevel"/>
    <w:tmpl w:val="15B66B3E"/>
    <w:lvl w:ilvl="0" w:tplc="C930B72C">
      <w:numFmt w:val="bullet"/>
      <w:lvlText w:val=""/>
      <w:lvlJc w:val="left"/>
      <w:pPr>
        <w:ind w:left="279" w:hanging="176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16B66A">
      <w:numFmt w:val="bullet"/>
      <w:lvlText w:val="•"/>
      <w:lvlJc w:val="left"/>
      <w:pPr>
        <w:ind w:left="477" w:hanging="176"/>
      </w:pPr>
      <w:rPr>
        <w:rFonts w:hint="default"/>
      </w:rPr>
    </w:lvl>
    <w:lvl w:ilvl="2" w:tplc="B6847C3A">
      <w:numFmt w:val="bullet"/>
      <w:lvlText w:val="•"/>
      <w:lvlJc w:val="left"/>
      <w:pPr>
        <w:ind w:left="675" w:hanging="176"/>
      </w:pPr>
      <w:rPr>
        <w:rFonts w:hint="default"/>
      </w:rPr>
    </w:lvl>
    <w:lvl w:ilvl="3" w:tplc="32C6402C">
      <w:numFmt w:val="bullet"/>
      <w:lvlText w:val="•"/>
      <w:lvlJc w:val="left"/>
      <w:pPr>
        <w:ind w:left="873" w:hanging="176"/>
      </w:pPr>
      <w:rPr>
        <w:rFonts w:hint="default"/>
      </w:rPr>
    </w:lvl>
    <w:lvl w:ilvl="4" w:tplc="6CFC570A">
      <w:numFmt w:val="bullet"/>
      <w:lvlText w:val="•"/>
      <w:lvlJc w:val="left"/>
      <w:pPr>
        <w:ind w:left="1071" w:hanging="176"/>
      </w:pPr>
      <w:rPr>
        <w:rFonts w:hint="default"/>
      </w:rPr>
    </w:lvl>
    <w:lvl w:ilvl="5" w:tplc="A2F0493C">
      <w:numFmt w:val="bullet"/>
      <w:lvlText w:val="•"/>
      <w:lvlJc w:val="left"/>
      <w:pPr>
        <w:ind w:left="1269" w:hanging="176"/>
      </w:pPr>
      <w:rPr>
        <w:rFonts w:hint="default"/>
      </w:rPr>
    </w:lvl>
    <w:lvl w:ilvl="6" w:tplc="F8B0383A">
      <w:numFmt w:val="bullet"/>
      <w:lvlText w:val="•"/>
      <w:lvlJc w:val="left"/>
      <w:pPr>
        <w:ind w:left="1467" w:hanging="176"/>
      </w:pPr>
      <w:rPr>
        <w:rFonts w:hint="default"/>
      </w:rPr>
    </w:lvl>
    <w:lvl w:ilvl="7" w:tplc="95AA0B56">
      <w:numFmt w:val="bullet"/>
      <w:lvlText w:val="•"/>
      <w:lvlJc w:val="left"/>
      <w:pPr>
        <w:ind w:left="1664" w:hanging="176"/>
      </w:pPr>
      <w:rPr>
        <w:rFonts w:hint="default"/>
      </w:rPr>
    </w:lvl>
    <w:lvl w:ilvl="8" w:tplc="55F6300E">
      <w:numFmt w:val="bullet"/>
      <w:lvlText w:val="•"/>
      <w:lvlJc w:val="left"/>
      <w:pPr>
        <w:ind w:left="1862" w:hanging="176"/>
      </w:pPr>
      <w:rPr>
        <w:rFonts w:hint="default"/>
      </w:rPr>
    </w:lvl>
  </w:abstractNum>
  <w:abstractNum w:abstractNumId="11">
    <w:nsid w:val="0A505DF0"/>
    <w:multiLevelType w:val="hybridMultilevel"/>
    <w:tmpl w:val="237A5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4F1573"/>
    <w:multiLevelType w:val="hybridMultilevel"/>
    <w:tmpl w:val="18025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5A1301"/>
    <w:multiLevelType w:val="hybridMultilevel"/>
    <w:tmpl w:val="98C2B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8C0AA5"/>
    <w:multiLevelType w:val="hybridMultilevel"/>
    <w:tmpl w:val="11DCA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4046A9"/>
    <w:multiLevelType w:val="hybridMultilevel"/>
    <w:tmpl w:val="26CCB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7">
    <w:nsid w:val="25D52762"/>
    <w:multiLevelType w:val="hybridMultilevel"/>
    <w:tmpl w:val="A1D4C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4A47AA"/>
    <w:multiLevelType w:val="hybridMultilevel"/>
    <w:tmpl w:val="2CECA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E00EB4"/>
    <w:multiLevelType w:val="hybridMultilevel"/>
    <w:tmpl w:val="A2CAB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2495"/>
    <w:multiLevelType w:val="hybridMultilevel"/>
    <w:tmpl w:val="6038B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542C6C"/>
    <w:multiLevelType w:val="hybridMultilevel"/>
    <w:tmpl w:val="DD361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E773F9"/>
    <w:multiLevelType w:val="hybridMultilevel"/>
    <w:tmpl w:val="C686B680"/>
    <w:lvl w:ilvl="0" w:tplc="08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3F7E7E10"/>
    <w:multiLevelType w:val="hybridMultilevel"/>
    <w:tmpl w:val="0DF6ECF2"/>
    <w:lvl w:ilvl="0" w:tplc="8DE29410">
      <w:start w:val="1"/>
      <w:numFmt w:val="decimal"/>
      <w:lvlText w:val="%1."/>
      <w:lvlJc w:val="left"/>
      <w:pPr>
        <w:ind w:left="323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FD2DB82">
      <w:numFmt w:val="bullet"/>
      <w:lvlText w:val="•"/>
      <w:lvlJc w:val="left"/>
      <w:pPr>
        <w:ind w:left="718" w:hanging="221"/>
      </w:pPr>
      <w:rPr>
        <w:rFonts w:hint="default"/>
      </w:rPr>
    </w:lvl>
    <w:lvl w:ilvl="2" w:tplc="96CC7EDC">
      <w:numFmt w:val="bullet"/>
      <w:lvlText w:val="•"/>
      <w:lvlJc w:val="left"/>
      <w:pPr>
        <w:ind w:left="1117" w:hanging="221"/>
      </w:pPr>
      <w:rPr>
        <w:rFonts w:hint="default"/>
      </w:rPr>
    </w:lvl>
    <w:lvl w:ilvl="3" w:tplc="5F384486">
      <w:numFmt w:val="bullet"/>
      <w:lvlText w:val="•"/>
      <w:lvlJc w:val="left"/>
      <w:pPr>
        <w:ind w:left="1515" w:hanging="221"/>
      </w:pPr>
      <w:rPr>
        <w:rFonts w:hint="default"/>
      </w:rPr>
    </w:lvl>
    <w:lvl w:ilvl="4" w:tplc="23607EDA">
      <w:numFmt w:val="bullet"/>
      <w:lvlText w:val="•"/>
      <w:lvlJc w:val="left"/>
      <w:pPr>
        <w:ind w:left="1914" w:hanging="221"/>
      </w:pPr>
      <w:rPr>
        <w:rFonts w:hint="default"/>
      </w:rPr>
    </w:lvl>
    <w:lvl w:ilvl="5" w:tplc="EA22A7B4">
      <w:numFmt w:val="bullet"/>
      <w:lvlText w:val="•"/>
      <w:lvlJc w:val="left"/>
      <w:pPr>
        <w:ind w:left="2312" w:hanging="221"/>
      </w:pPr>
      <w:rPr>
        <w:rFonts w:hint="default"/>
      </w:rPr>
    </w:lvl>
    <w:lvl w:ilvl="6" w:tplc="44C000F2">
      <w:numFmt w:val="bullet"/>
      <w:lvlText w:val="•"/>
      <w:lvlJc w:val="left"/>
      <w:pPr>
        <w:ind w:left="2711" w:hanging="221"/>
      </w:pPr>
      <w:rPr>
        <w:rFonts w:hint="default"/>
      </w:rPr>
    </w:lvl>
    <w:lvl w:ilvl="7" w:tplc="B590F06E">
      <w:numFmt w:val="bullet"/>
      <w:lvlText w:val="•"/>
      <w:lvlJc w:val="left"/>
      <w:pPr>
        <w:ind w:left="3109" w:hanging="221"/>
      </w:pPr>
      <w:rPr>
        <w:rFonts w:hint="default"/>
      </w:rPr>
    </w:lvl>
    <w:lvl w:ilvl="8" w:tplc="6C767180">
      <w:numFmt w:val="bullet"/>
      <w:lvlText w:val="•"/>
      <w:lvlJc w:val="left"/>
      <w:pPr>
        <w:ind w:left="3508" w:hanging="221"/>
      </w:pPr>
      <w:rPr>
        <w:rFonts w:hint="default"/>
      </w:rPr>
    </w:lvl>
  </w:abstractNum>
  <w:abstractNum w:abstractNumId="25">
    <w:nsid w:val="3FD212AD"/>
    <w:multiLevelType w:val="hybridMultilevel"/>
    <w:tmpl w:val="08E0E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B1C6D"/>
    <w:multiLevelType w:val="hybridMultilevel"/>
    <w:tmpl w:val="7852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81037"/>
    <w:multiLevelType w:val="hybridMultilevel"/>
    <w:tmpl w:val="A606A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BC7F44"/>
    <w:multiLevelType w:val="hybridMultilevel"/>
    <w:tmpl w:val="6DA84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142D29"/>
    <w:multiLevelType w:val="hybridMultilevel"/>
    <w:tmpl w:val="742C5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31">
    <w:nsid w:val="5C0D2E2B"/>
    <w:multiLevelType w:val="hybridMultilevel"/>
    <w:tmpl w:val="A66C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45207"/>
    <w:multiLevelType w:val="hybridMultilevel"/>
    <w:tmpl w:val="27E01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1C2161"/>
    <w:multiLevelType w:val="hybridMultilevel"/>
    <w:tmpl w:val="8EA4C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4B03D0"/>
    <w:multiLevelType w:val="hybridMultilevel"/>
    <w:tmpl w:val="D574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5020"/>
    <w:multiLevelType w:val="hybridMultilevel"/>
    <w:tmpl w:val="52807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D458D"/>
    <w:multiLevelType w:val="hybridMultilevel"/>
    <w:tmpl w:val="FDC2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92450"/>
    <w:multiLevelType w:val="hybridMultilevel"/>
    <w:tmpl w:val="88B89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3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36"/>
  </w:num>
  <w:num w:numId="16">
    <w:abstractNumId w:val="10"/>
  </w:num>
  <w:num w:numId="17">
    <w:abstractNumId w:val="22"/>
  </w:num>
  <w:num w:numId="18">
    <w:abstractNumId w:val="24"/>
  </w:num>
  <w:num w:numId="19">
    <w:abstractNumId w:val="23"/>
  </w:num>
  <w:num w:numId="20">
    <w:abstractNumId w:val="34"/>
  </w:num>
  <w:num w:numId="21">
    <w:abstractNumId w:val="31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33"/>
  </w:num>
  <w:num w:numId="27">
    <w:abstractNumId w:val="28"/>
  </w:num>
  <w:num w:numId="28">
    <w:abstractNumId w:val="14"/>
  </w:num>
  <w:num w:numId="29">
    <w:abstractNumId w:val="38"/>
  </w:num>
  <w:num w:numId="30">
    <w:abstractNumId w:val="11"/>
  </w:num>
  <w:num w:numId="31">
    <w:abstractNumId w:val="15"/>
  </w:num>
  <w:num w:numId="32">
    <w:abstractNumId w:val="18"/>
  </w:num>
  <w:num w:numId="33">
    <w:abstractNumId w:val="35"/>
  </w:num>
  <w:num w:numId="34">
    <w:abstractNumId w:val="19"/>
  </w:num>
  <w:num w:numId="35">
    <w:abstractNumId w:val="32"/>
  </w:num>
  <w:num w:numId="36">
    <w:abstractNumId w:val="25"/>
  </w:num>
  <w:num w:numId="37">
    <w:abstractNumId w:val="27"/>
  </w:num>
  <w:num w:numId="38">
    <w:abstractNumId w:val="12"/>
  </w:num>
  <w:num w:numId="39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8F6"/>
    <w:rsid w:val="00067B5F"/>
    <w:rsid w:val="000765F9"/>
    <w:rsid w:val="00077B06"/>
    <w:rsid w:val="000828E9"/>
    <w:rsid w:val="0008371A"/>
    <w:rsid w:val="0008387E"/>
    <w:rsid w:val="0008451D"/>
    <w:rsid w:val="00085129"/>
    <w:rsid w:val="00086500"/>
    <w:rsid w:val="000B0482"/>
    <w:rsid w:val="000B6841"/>
    <w:rsid w:val="000C2BE7"/>
    <w:rsid w:val="000C63FD"/>
    <w:rsid w:val="000D487E"/>
    <w:rsid w:val="000F3A33"/>
    <w:rsid w:val="000F61A7"/>
    <w:rsid w:val="000F6342"/>
    <w:rsid w:val="001011A4"/>
    <w:rsid w:val="00104A23"/>
    <w:rsid w:val="00112436"/>
    <w:rsid w:val="00115D3E"/>
    <w:rsid w:val="00120F78"/>
    <w:rsid w:val="00126CE4"/>
    <w:rsid w:val="0013687F"/>
    <w:rsid w:val="00137BC9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2A64"/>
    <w:rsid w:val="00195E4D"/>
    <w:rsid w:val="001A2916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D745C"/>
    <w:rsid w:val="001E0078"/>
    <w:rsid w:val="001E156E"/>
    <w:rsid w:val="001E36B7"/>
    <w:rsid w:val="001E5075"/>
    <w:rsid w:val="00200605"/>
    <w:rsid w:val="0020455D"/>
    <w:rsid w:val="00210C58"/>
    <w:rsid w:val="00211C37"/>
    <w:rsid w:val="002121D8"/>
    <w:rsid w:val="00214842"/>
    <w:rsid w:val="00215107"/>
    <w:rsid w:val="00215AAC"/>
    <w:rsid w:val="00224DE3"/>
    <w:rsid w:val="00231020"/>
    <w:rsid w:val="0023146E"/>
    <w:rsid w:val="00231D01"/>
    <w:rsid w:val="00233D39"/>
    <w:rsid w:val="00242477"/>
    <w:rsid w:val="00242FE4"/>
    <w:rsid w:val="002432CF"/>
    <w:rsid w:val="00243354"/>
    <w:rsid w:val="0024725D"/>
    <w:rsid w:val="00252544"/>
    <w:rsid w:val="00254117"/>
    <w:rsid w:val="00254C50"/>
    <w:rsid w:val="002553A0"/>
    <w:rsid w:val="00264143"/>
    <w:rsid w:val="0026607C"/>
    <w:rsid w:val="00272F8E"/>
    <w:rsid w:val="00280EAA"/>
    <w:rsid w:val="00281413"/>
    <w:rsid w:val="0028494D"/>
    <w:rsid w:val="00287913"/>
    <w:rsid w:val="002941BC"/>
    <w:rsid w:val="0029448B"/>
    <w:rsid w:val="00294C84"/>
    <w:rsid w:val="002A6E2E"/>
    <w:rsid w:val="002A7947"/>
    <w:rsid w:val="002B2ACF"/>
    <w:rsid w:val="002B3F7B"/>
    <w:rsid w:val="002B484E"/>
    <w:rsid w:val="002B5537"/>
    <w:rsid w:val="002B6BB4"/>
    <w:rsid w:val="002C6497"/>
    <w:rsid w:val="002D7551"/>
    <w:rsid w:val="002E238E"/>
    <w:rsid w:val="002E681A"/>
    <w:rsid w:val="002E6A0F"/>
    <w:rsid w:val="002E755C"/>
    <w:rsid w:val="002F119A"/>
    <w:rsid w:val="00305AEA"/>
    <w:rsid w:val="00306749"/>
    <w:rsid w:val="0030727F"/>
    <w:rsid w:val="00312031"/>
    <w:rsid w:val="003154B4"/>
    <w:rsid w:val="00320A5E"/>
    <w:rsid w:val="003214AA"/>
    <w:rsid w:val="00323BE3"/>
    <w:rsid w:val="003272D5"/>
    <w:rsid w:val="0033791A"/>
    <w:rsid w:val="003403E4"/>
    <w:rsid w:val="003418C5"/>
    <w:rsid w:val="00343AD3"/>
    <w:rsid w:val="003570A0"/>
    <w:rsid w:val="0035720C"/>
    <w:rsid w:val="00357C2F"/>
    <w:rsid w:val="00364BB2"/>
    <w:rsid w:val="00372294"/>
    <w:rsid w:val="003747A8"/>
    <w:rsid w:val="0038051C"/>
    <w:rsid w:val="00382708"/>
    <w:rsid w:val="003852F4"/>
    <w:rsid w:val="003876C7"/>
    <w:rsid w:val="003A59B1"/>
    <w:rsid w:val="003A605F"/>
    <w:rsid w:val="003A6246"/>
    <w:rsid w:val="003A759C"/>
    <w:rsid w:val="003B7E1B"/>
    <w:rsid w:val="003C5C19"/>
    <w:rsid w:val="003D1A2D"/>
    <w:rsid w:val="003D373D"/>
    <w:rsid w:val="003D4981"/>
    <w:rsid w:val="003E06E9"/>
    <w:rsid w:val="003F0147"/>
    <w:rsid w:val="00401CA9"/>
    <w:rsid w:val="004043E5"/>
    <w:rsid w:val="00411CC7"/>
    <w:rsid w:val="0041449E"/>
    <w:rsid w:val="0041637F"/>
    <w:rsid w:val="0042190C"/>
    <w:rsid w:val="004234DB"/>
    <w:rsid w:val="004239F4"/>
    <w:rsid w:val="004309D0"/>
    <w:rsid w:val="00433253"/>
    <w:rsid w:val="00440BBB"/>
    <w:rsid w:val="004444DE"/>
    <w:rsid w:val="004451CF"/>
    <w:rsid w:val="004553D2"/>
    <w:rsid w:val="00457505"/>
    <w:rsid w:val="0047015C"/>
    <w:rsid w:val="0047064E"/>
    <w:rsid w:val="00473356"/>
    <w:rsid w:val="00475E98"/>
    <w:rsid w:val="00477550"/>
    <w:rsid w:val="0048161D"/>
    <w:rsid w:val="0049238E"/>
    <w:rsid w:val="00493BA0"/>
    <w:rsid w:val="00495A25"/>
    <w:rsid w:val="004A3157"/>
    <w:rsid w:val="004A6805"/>
    <w:rsid w:val="004B3F5C"/>
    <w:rsid w:val="004C135A"/>
    <w:rsid w:val="004C148E"/>
    <w:rsid w:val="004C4B9B"/>
    <w:rsid w:val="004D0ABA"/>
    <w:rsid w:val="004D0D8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2A67"/>
    <w:rsid w:val="00535909"/>
    <w:rsid w:val="0053599E"/>
    <w:rsid w:val="005376D3"/>
    <w:rsid w:val="00540761"/>
    <w:rsid w:val="005409F6"/>
    <w:rsid w:val="005435A7"/>
    <w:rsid w:val="00543F8D"/>
    <w:rsid w:val="005448D8"/>
    <w:rsid w:val="00560F61"/>
    <w:rsid w:val="005635BB"/>
    <w:rsid w:val="00570C46"/>
    <w:rsid w:val="005812C3"/>
    <w:rsid w:val="00597D8A"/>
    <w:rsid w:val="005A0E29"/>
    <w:rsid w:val="005A2D8B"/>
    <w:rsid w:val="005A2EF6"/>
    <w:rsid w:val="005A4C78"/>
    <w:rsid w:val="005A5ABE"/>
    <w:rsid w:val="005A6125"/>
    <w:rsid w:val="005B026F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378"/>
    <w:rsid w:val="00625D0C"/>
    <w:rsid w:val="00626D3E"/>
    <w:rsid w:val="00630E04"/>
    <w:rsid w:val="00636047"/>
    <w:rsid w:val="00642C9D"/>
    <w:rsid w:val="006453BA"/>
    <w:rsid w:val="00647021"/>
    <w:rsid w:val="00651403"/>
    <w:rsid w:val="00651DB9"/>
    <w:rsid w:val="006600A8"/>
    <w:rsid w:val="00660B68"/>
    <w:rsid w:val="00672DB4"/>
    <w:rsid w:val="00673E25"/>
    <w:rsid w:val="00682DD0"/>
    <w:rsid w:val="0069554A"/>
    <w:rsid w:val="0069559D"/>
    <w:rsid w:val="00697580"/>
    <w:rsid w:val="006A7F64"/>
    <w:rsid w:val="006B0064"/>
    <w:rsid w:val="006C0B6A"/>
    <w:rsid w:val="006C1C11"/>
    <w:rsid w:val="006C2F56"/>
    <w:rsid w:val="006C369F"/>
    <w:rsid w:val="006C3B73"/>
    <w:rsid w:val="006D2272"/>
    <w:rsid w:val="006D54A7"/>
    <w:rsid w:val="006D5E95"/>
    <w:rsid w:val="006E1321"/>
    <w:rsid w:val="006E337F"/>
    <w:rsid w:val="006E44B4"/>
    <w:rsid w:val="006E619B"/>
    <w:rsid w:val="006F4E88"/>
    <w:rsid w:val="007132F1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61B23"/>
    <w:rsid w:val="0076308B"/>
    <w:rsid w:val="0077026E"/>
    <w:rsid w:val="007737C2"/>
    <w:rsid w:val="00783530"/>
    <w:rsid w:val="007A21E6"/>
    <w:rsid w:val="007A2C71"/>
    <w:rsid w:val="007A657A"/>
    <w:rsid w:val="007A76D2"/>
    <w:rsid w:val="007B46AF"/>
    <w:rsid w:val="007B6079"/>
    <w:rsid w:val="007B68AD"/>
    <w:rsid w:val="007B6F91"/>
    <w:rsid w:val="007C3DB7"/>
    <w:rsid w:val="007C7BFB"/>
    <w:rsid w:val="007D635A"/>
    <w:rsid w:val="007D6DD5"/>
    <w:rsid w:val="007E170A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1016F"/>
    <w:rsid w:val="00810B44"/>
    <w:rsid w:val="008203D3"/>
    <w:rsid w:val="008227A9"/>
    <w:rsid w:val="00827C5B"/>
    <w:rsid w:val="00834CFE"/>
    <w:rsid w:val="008357EB"/>
    <w:rsid w:val="008358EB"/>
    <w:rsid w:val="00843221"/>
    <w:rsid w:val="0084517C"/>
    <w:rsid w:val="00845651"/>
    <w:rsid w:val="0085397C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35D9"/>
    <w:rsid w:val="008B4332"/>
    <w:rsid w:val="008C368C"/>
    <w:rsid w:val="008C5248"/>
    <w:rsid w:val="008D1EFB"/>
    <w:rsid w:val="008D2412"/>
    <w:rsid w:val="008D3720"/>
    <w:rsid w:val="008E190F"/>
    <w:rsid w:val="009038FF"/>
    <w:rsid w:val="00903F3B"/>
    <w:rsid w:val="009066B1"/>
    <w:rsid w:val="009144E4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47E70"/>
    <w:rsid w:val="009659F1"/>
    <w:rsid w:val="009673E1"/>
    <w:rsid w:val="00974AF9"/>
    <w:rsid w:val="0098280B"/>
    <w:rsid w:val="00985298"/>
    <w:rsid w:val="009859BE"/>
    <w:rsid w:val="00985BBA"/>
    <w:rsid w:val="009923A1"/>
    <w:rsid w:val="009A7103"/>
    <w:rsid w:val="009B043C"/>
    <w:rsid w:val="009B1BB7"/>
    <w:rsid w:val="009B49FB"/>
    <w:rsid w:val="009B60AD"/>
    <w:rsid w:val="009C30F6"/>
    <w:rsid w:val="009D4B8A"/>
    <w:rsid w:val="009E2F24"/>
    <w:rsid w:val="009E33E0"/>
    <w:rsid w:val="009E5ED9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6243A"/>
    <w:rsid w:val="00A65C8A"/>
    <w:rsid w:val="00A66925"/>
    <w:rsid w:val="00A715D3"/>
    <w:rsid w:val="00A7223C"/>
    <w:rsid w:val="00A773AC"/>
    <w:rsid w:val="00A83656"/>
    <w:rsid w:val="00A87146"/>
    <w:rsid w:val="00A87B3A"/>
    <w:rsid w:val="00A9526B"/>
    <w:rsid w:val="00AA6668"/>
    <w:rsid w:val="00AB0B42"/>
    <w:rsid w:val="00AC16FE"/>
    <w:rsid w:val="00AD0239"/>
    <w:rsid w:val="00AD0346"/>
    <w:rsid w:val="00AD170F"/>
    <w:rsid w:val="00AD2E0A"/>
    <w:rsid w:val="00AD5C7C"/>
    <w:rsid w:val="00AD764B"/>
    <w:rsid w:val="00AE2B57"/>
    <w:rsid w:val="00AE324E"/>
    <w:rsid w:val="00AE7A92"/>
    <w:rsid w:val="00AF1741"/>
    <w:rsid w:val="00AF43AF"/>
    <w:rsid w:val="00B00411"/>
    <w:rsid w:val="00B1060B"/>
    <w:rsid w:val="00B10912"/>
    <w:rsid w:val="00B123DA"/>
    <w:rsid w:val="00B2596F"/>
    <w:rsid w:val="00B2673F"/>
    <w:rsid w:val="00B26A36"/>
    <w:rsid w:val="00B30DCD"/>
    <w:rsid w:val="00B32AAC"/>
    <w:rsid w:val="00B342C6"/>
    <w:rsid w:val="00B367B1"/>
    <w:rsid w:val="00B36933"/>
    <w:rsid w:val="00B53B7B"/>
    <w:rsid w:val="00B55270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52B7"/>
    <w:rsid w:val="00B90E54"/>
    <w:rsid w:val="00B92F78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F76DB"/>
    <w:rsid w:val="00C0016A"/>
    <w:rsid w:val="00C004F3"/>
    <w:rsid w:val="00C05787"/>
    <w:rsid w:val="00C25FA9"/>
    <w:rsid w:val="00C3153C"/>
    <w:rsid w:val="00C32386"/>
    <w:rsid w:val="00C34449"/>
    <w:rsid w:val="00C34F0D"/>
    <w:rsid w:val="00C41425"/>
    <w:rsid w:val="00C41461"/>
    <w:rsid w:val="00C5075D"/>
    <w:rsid w:val="00C57EC8"/>
    <w:rsid w:val="00C7611A"/>
    <w:rsid w:val="00C762FB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40EC"/>
    <w:rsid w:val="00CF4E94"/>
    <w:rsid w:val="00CF7A0F"/>
    <w:rsid w:val="00D11A43"/>
    <w:rsid w:val="00D13439"/>
    <w:rsid w:val="00D1603E"/>
    <w:rsid w:val="00D16C87"/>
    <w:rsid w:val="00D24E7E"/>
    <w:rsid w:val="00D27337"/>
    <w:rsid w:val="00D27550"/>
    <w:rsid w:val="00D33B18"/>
    <w:rsid w:val="00D37CDF"/>
    <w:rsid w:val="00D41942"/>
    <w:rsid w:val="00D422F0"/>
    <w:rsid w:val="00D437AA"/>
    <w:rsid w:val="00D54A8E"/>
    <w:rsid w:val="00D55965"/>
    <w:rsid w:val="00D57C18"/>
    <w:rsid w:val="00D61D85"/>
    <w:rsid w:val="00D63675"/>
    <w:rsid w:val="00D67714"/>
    <w:rsid w:val="00D7462E"/>
    <w:rsid w:val="00D746F4"/>
    <w:rsid w:val="00D80322"/>
    <w:rsid w:val="00D92924"/>
    <w:rsid w:val="00D9778B"/>
    <w:rsid w:val="00DA0FFB"/>
    <w:rsid w:val="00DA373C"/>
    <w:rsid w:val="00DA7C79"/>
    <w:rsid w:val="00DB3BA6"/>
    <w:rsid w:val="00DB7C3A"/>
    <w:rsid w:val="00DC35E1"/>
    <w:rsid w:val="00DC3DA9"/>
    <w:rsid w:val="00DD309D"/>
    <w:rsid w:val="00DD4F44"/>
    <w:rsid w:val="00DF1924"/>
    <w:rsid w:val="00DF4BF1"/>
    <w:rsid w:val="00DF6343"/>
    <w:rsid w:val="00E04A3C"/>
    <w:rsid w:val="00E12EF9"/>
    <w:rsid w:val="00E14888"/>
    <w:rsid w:val="00E20009"/>
    <w:rsid w:val="00E2065F"/>
    <w:rsid w:val="00E26981"/>
    <w:rsid w:val="00E32014"/>
    <w:rsid w:val="00E32F5E"/>
    <w:rsid w:val="00E343A0"/>
    <w:rsid w:val="00E37342"/>
    <w:rsid w:val="00E443CC"/>
    <w:rsid w:val="00E53C4E"/>
    <w:rsid w:val="00E55EF1"/>
    <w:rsid w:val="00E5677F"/>
    <w:rsid w:val="00E622C5"/>
    <w:rsid w:val="00E65850"/>
    <w:rsid w:val="00E6679E"/>
    <w:rsid w:val="00E81C87"/>
    <w:rsid w:val="00E83D68"/>
    <w:rsid w:val="00E84E8D"/>
    <w:rsid w:val="00E877B4"/>
    <w:rsid w:val="00E9748E"/>
    <w:rsid w:val="00EA02B2"/>
    <w:rsid w:val="00EA7328"/>
    <w:rsid w:val="00EA7864"/>
    <w:rsid w:val="00EB0455"/>
    <w:rsid w:val="00EB2BA2"/>
    <w:rsid w:val="00EC2F83"/>
    <w:rsid w:val="00EC7F22"/>
    <w:rsid w:val="00ED0736"/>
    <w:rsid w:val="00ED2145"/>
    <w:rsid w:val="00ED60A3"/>
    <w:rsid w:val="00EE476B"/>
    <w:rsid w:val="00EF0F3D"/>
    <w:rsid w:val="00EF357A"/>
    <w:rsid w:val="00EF5DA3"/>
    <w:rsid w:val="00F00122"/>
    <w:rsid w:val="00F10B88"/>
    <w:rsid w:val="00F12515"/>
    <w:rsid w:val="00F213EC"/>
    <w:rsid w:val="00F222A3"/>
    <w:rsid w:val="00F265F8"/>
    <w:rsid w:val="00F27D76"/>
    <w:rsid w:val="00F32F7D"/>
    <w:rsid w:val="00F336A5"/>
    <w:rsid w:val="00F343F7"/>
    <w:rsid w:val="00F47996"/>
    <w:rsid w:val="00F61CF4"/>
    <w:rsid w:val="00F638AB"/>
    <w:rsid w:val="00F743FD"/>
    <w:rsid w:val="00F75AF0"/>
    <w:rsid w:val="00F80A27"/>
    <w:rsid w:val="00F82ABB"/>
    <w:rsid w:val="00F8497A"/>
    <w:rsid w:val="00F86FA6"/>
    <w:rsid w:val="00F930B8"/>
    <w:rsid w:val="00F9432E"/>
    <w:rsid w:val="00F947EB"/>
    <w:rsid w:val="00F97C97"/>
    <w:rsid w:val="00FA243F"/>
    <w:rsid w:val="00FA2687"/>
    <w:rsid w:val="00FA5321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paragraph" w:customStyle="1" w:styleId="TableParagraph">
    <w:name w:val="Table Paragraph"/>
    <w:basedOn w:val="Normal"/>
    <w:uiPriority w:val="1"/>
    <w:qFormat/>
    <w:rsid w:val="00E9748E"/>
    <w:pPr>
      <w:widowControl w:val="0"/>
      <w:spacing w:before="0"/>
      <w:ind w:left="103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paragraph" w:customStyle="1" w:styleId="TableParagraph">
    <w:name w:val="Table Paragraph"/>
    <w:basedOn w:val="Normal"/>
    <w:uiPriority w:val="1"/>
    <w:qFormat/>
    <w:rsid w:val="00E9748E"/>
    <w:pPr>
      <w:widowControl w:val="0"/>
      <w:spacing w:before="0"/>
      <w:ind w:left="103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BA30B-1881-4411-BB9B-041442DF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C4C1BE8A.dotm</Template>
  <TotalTime>1</TotalTime>
  <Pages>7</Pages>
  <Words>882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2017-08-03T16:19:00Z</dcterms:created>
  <dcterms:modified xsi:type="dcterms:W3CDTF">2017-08-03T16:19:00Z</dcterms:modified>
</cp:coreProperties>
</file>