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F4" w:rsidRPr="00B946E0" w:rsidRDefault="00086323" w:rsidP="009A69A5">
      <w:pPr>
        <w:pStyle w:val="Heading1"/>
        <w:spacing w:line="240" w:lineRule="auto"/>
        <w:rPr>
          <w:rFonts w:ascii="AQA Chevin Pro Light" w:hAnsi="AQA Chevin Pro Light" w:cs="Arial"/>
        </w:rPr>
      </w:pPr>
      <w:r>
        <w:rPr>
          <w:rFonts w:ascii="AQA Chevin Pro Light" w:hAnsi="AQA Chevin Pro Light" w:cs="Arial"/>
        </w:rPr>
        <w:t>Scheme of w</w:t>
      </w:r>
      <w:r w:rsidR="00767AB5" w:rsidRPr="00B946E0">
        <w:rPr>
          <w:rFonts w:ascii="AQA Chevin Pro Light" w:hAnsi="AQA Chevin Pro Light" w:cs="Arial"/>
        </w:rPr>
        <w:t>ork</w:t>
      </w:r>
    </w:p>
    <w:p w:rsidR="00040DA1" w:rsidRDefault="00040DA1" w:rsidP="009A69A5">
      <w:pPr>
        <w:pStyle w:val="Heading2"/>
        <w:spacing w:line="240" w:lineRule="auto"/>
        <w:rPr>
          <w:rFonts w:ascii="AQA Chevin Pro Light" w:hAnsi="AQA Chevin Pro Light" w:cs="Arial"/>
        </w:rPr>
      </w:pPr>
      <w:r>
        <w:rPr>
          <w:rFonts w:ascii="AQA Chevin Pro Light" w:hAnsi="AQA Chevin Pro Light" w:cs="Arial"/>
        </w:rPr>
        <w:t>Combined Science: Trilogy</w:t>
      </w:r>
    </w:p>
    <w:p w:rsidR="00085F1F" w:rsidRPr="00B946E0" w:rsidRDefault="00767AB5" w:rsidP="009A69A5">
      <w:pPr>
        <w:pStyle w:val="Heading2"/>
        <w:spacing w:line="240" w:lineRule="auto"/>
        <w:rPr>
          <w:rFonts w:ascii="AQA Chevin Pro Light" w:hAnsi="AQA Chevin Pro Light" w:cs="Arial"/>
        </w:rPr>
      </w:pPr>
      <w:r w:rsidRPr="00B946E0">
        <w:rPr>
          <w:rFonts w:ascii="AQA Chevin Pro Light" w:hAnsi="AQA Chevin Pro Light" w:cs="Arial"/>
        </w:rPr>
        <w:t>Chemistry</w:t>
      </w:r>
      <w:r w:rsidR="00B946E0">
        <w:rPr>
          <w:rFonts w:ascii="AQA Chevin Pro Light" w:hAnsi="AQA Chevin Pro Light" w:cs="Arial"/>
        </w:rPr>
        <w:t xml:space="preserve"> </w:t>
      </w:r>
      <w:r w:rsidR="00426E76">
        <w:rPr>
          <w:rFonts w:ascii="AQA Chevin Pro Light" w:hAnsi="AQA Chevin Pro Light" w:cs="Arial"/>
        </w:rPr>
        <w:t>–</w:t>
      </w:r>
      <w:r w:rsidR="00B946E0">
        <w:rPr>
          <w:rFonts w:ascii="AQA Chevin Pro Light" w:hAnsi="AQA Chevin Pro Light" w:cs="Arial"/>
        </w:rPr>
        <w:t xml:space="preserve"> </w:t>
      </w:r>
      <w:r w:rsidR="00567B5F">
        <w:rPr>
          <w:rFonts w:ascii="AQA Chevin Pro Light" w:hAnsi="AQA Chevin Pro Light" w:cs="Arial"/>
        </w:rPr>
        <w:t>Energy</w:t>
      </w:r>
      <w:r w:rsidR="0008690A">
        <w:rPr>
          <w:rFonts w:ascii="AQA Chevin Pro Light" w:hAnsi="AQA Chevin Pro Light" w:cs="Arial"/>
        </w:rPr>
        <w:t xml:space="preserve"> c</w:t>
      </w:r>
      <w:r w:rsidR="0008690A" w:rsidRPr="0008690A">
        <w:rPr>
          <w:rFonts w:ascii="AQA Chevin Pro Light" w:hAnsi="AQA Chevin Pro Light" w:cs="Arial"/>
        </w:rPr>
        <w:t>hanges</w:t>
      </w:r>
    </w:p>
    <w:p w:rsidR="007A202A" w:rsidRDefault="007A202A" w:rsidP="009A69A5">
      <w:pPr>
        <w:pStyle w:val="LineThin"/>
        <w:rPr>
          <w:rFonts w:cs="Arial"/>
        </w:rPr>
      </w:pPr>
    </w:p>
    <w:p w:rsidR="00086323" w:rsidRPr="00086323" w:rsidRDefault="00086323" w:rsidP="00086323"/>
    <w:p w:rsidR="00086323" w:rsidRDefault="00086323" w:rsidP="00086323">
      <w:pPr>
        <w:rPr>
          <w:rFonts w:ascii="AQA Chevin Pro Light" w:hAnsi="AQA Chevin Pro Light"/>
        </w:rPr>
      </w:pPr>
      <w:r>
        <w:rPr>
          <w:rFonts w:ascii="AQA Chevin Pro Light" w:hAnsi="AQA Chevin Pro Light"/>
        </w:rPr>
        <w:t>This resource prov</w:t>
      </w:r>
      <w:r w:rsidR="00982437">
        <w:rPr>
          <w:rFonts w:ascii="AQA Chevin Pro Light" w:hAnsi="AQA Chevin Pro Light"/>
        </w:rPr>
        <w:t xml:space="preserve">ides guidance for teaching </w:t>
      </w:r>
      <w:r w:rsidR="003A0EA4">
        <w:rPr>
          <w:rFonts w:ascii="AQA Chevin Pro Light" w:hAnsi="AQA Chevin Pro Light"/>
        </w:rPr>
        <w:t xml:space="preserve">the </w:t>
      </w:r>
      <w:r w:rsidR="00567B5F">
        <w:rPr>
          <w:rFonts w:ascii="AQA Chevin Pro Light" w:hAnsi="AQA Chevin Pro Light"/>
        </w:rPr>
        <w:t>Energy</w:t>
      </w:r>
      <w:r w:rsidR="0008690A" w:rsidRPr="0008690A">
        <w:rPr>
          <w:rFonts w:ascii="AQA Chevin Pro Light" w:hAnsi="AQA Chevin Pro Light"/>
        </w:rPr>
        <w:t xml:space="preserve"> </w:t>
      </w:r>
      <w:r w:rsidR="0008690A">
        <w:rPr>
          <w:rFonts w:ascii="AQA Chevin Pro Light" w:hAnsi="AQA Chevin Pro Light"/>
        </w:rPr>
        <w:t>c</w:t>
      </w:r>
      <w:r w:rsidR="0008690A" w:rsidRPr="0008690A">
        <w:rPr>
          <w:rFonts w:ascii="AQA Chevin Pro Light" w:hAnsi="AQA Chevin Pro Light"/>
        </w:rPr>
        <w:t>hanges</w:t>
      </w:r>
      <w:r w:rsidR="003A0EA4" w:rsidRPr="003A0EA4">
        <w:rPr>
          <w:rFonts w:ascii="AQA Chevin Pro Light" w:hAnsi="AQA Chevin Pro Light"/>
        </w:rPr>
        <w:t xml:space="preserve"> </w:t>
      </w:r>
      <w:r>
        <w:rPr>
          <w:rFonts w:ascii="AQA Chevin Pro Light" w:hAnsi="AQA Chevin Pro Light"/>
        </w:rPr>
        <w:t xml:space="preserve">topic from our new GCSE in </w:t>
      </w:r>
      <w:r w:rsidR="00040DA1">
        <w:rPr>
          <w:rFonts w:ascii="AQA Chevin Pro Light" w:hAnsi="AQA Chevin Pro Light"/>
        </w:rPr>
        <w:t>Combined Science: Trilogy (</w:t>
      </w:r>
      <w:r>
        <w:rPr>
          <w:rFonts w:ascii="AQA Chevin Pro Light" w:hAnsi="AQA Chevin Pro Light"/>
        </w:rPr>
        <w:t>Chemistry</w:t>
      </w:r>
      <w:r w:rsidR="00040DA1">
        <w:rPr>
          <w:rFonts w:ascii="AQA Chevin Pro Light" w:hAnsi="AQA Chevin Pro Light"/>
        </w:rPr>
        <w:t>)</w:t>
      </w:r>
      <w:r w:rsidR="00D6617A">
        <w:rPr>
          <w:rFonts w:ascii="AQA Chevin Pro Light" w:hAnsi="AQA Chevin Pro Light"/>
        </w:rPr>
        <w:t xml:space="preserve"> 8464</w:t>
      </w:r>
      <w:r w:rsidR="00D620C6">
        <w:rPr>
          <w:rFonts w:ascii="AQA Chevin Pro Light" w:hAnsi="AQA Chevin Pro Light"/>
        </w:rPr>
        <w:t>.</w:t>
      </w:r>
      <w:r w:rsidR="002C320F">
        <w:rPr>
          <w:rFonts w:ascii="AQA Chevin Pro Light" w:hAnsi="AQA Chevin Pro Light"/>
        </w:rPr>
        <w:t xml:space="preserve"> It has been updated from the draft version to reflect the changes made in the accredited specificat</w:t>
      </w:r>
      <w:r w:rsidR="002B74D5">
        <w:rPr>
          <w:rFonts w:ascii="AQA Chevin Pro Light" w:hAnsi="AQA Chevin Pro Light"/>
        </w:rPr>
        <w:t>ion. Changes have been made to 5</w:t>
      </w:r>
      <w:r w:rsidR="002C320F">
        <w:rPr>
          <w:rFonts w:ascii="AQA Chevin Pro Light" w:hAnsi="AQA Chevin Pro Light"/>
        </w:rPr>
        <w:t>.5.1.1 and minor amendments to each of the other sections.</w:t>
      </w:r>
      <w:bookmarkStart w:id="0" w:name="_GoBack"/>
    </w:p>
    <w:bookmarkEnd w:id="0"/>
    <w:p w:rsidR="00086323" w:rsidRDefault="00086323" w:rsidP="00086323">
      <w:pPr>
        <w:rPr>
          <w:rFonts w:ascii="AQA Chevin Pro Light" w:hAnsi="AQA Chevin Pro Light"/>
        </w:rPr>
      </w:pPr>
    </w:p>
    <w:p w:rsidR="00086323" w:rsidRPr="004D26F8" w:rsidRDefault="00086323" w:rsidP="00086323">
      <w:pPr>
        <w:rPr>
          <w:rFonts w:ascii="AQA Chevin Pro Light" w:hAnsi="AQA Chevin Pro Light"/>
        </w:rPr>
      </w:pPr>
      <w:r>
        <w:rPr>
          <w:rFonts w:ascii="AQA Chevin Pro Light" w:hAnsi="AQA Chevin Pro Light"/>
        </w:rPr>
        <w:t xml:space="preserve">The scheme of work is designed to be a flexible </w:t>
      </w:r>
      <w:r w:rsidR="002C320F">
        <w:rPr>
          <w:rFonts w:ascii="AQA Chevin Pro Light" w:hAnsi="AQA Chevin Pro Light"/>
        </w:rPr>
        <w:t xml:space="preserve">medium </w:t>
      </w:r>
      <w:r>
        <w:rPr>
          <w:rFonts w:ascii="AQA Chevin Pro Light" w:hAnsi="AQA Chevin Pro Light"/>
        </w:rPr>
        <w:t>term plan for teaching content and development of the skills that will be assessed.</w:t>
      </w:r>
    </w:p>
    <w:p w:rsidR="00086323" w:rsidRDefault="00086323" w:rsidP="00086323">
      <w:pPr>
        <w:rPr>
          <w:rFonts w:ascii="AQA Chevin Pro Light" w:hAnsi="AQA Chevin Pro Light"/>
        </w:rPr>
      </w:pPr>
      <w:r>
        <w:rPr>
          <w:rFonts w:ascii="AQA Chevin Pro Light" w:hAnsi="AQA Chevin Pro Light"/>
        </w:rPr>
        <w:t xml:space="preserve">It is provided in Word format to help you create your own teaching plan – you can edit and customise it according to your needs. This scheme of work is not </w:t>
      </w:r>
      <w:r w:rsidR="002C320F">
        <w:rPr>
          <w:rFonts w:ascii="AQA Chevin Pro Light" w:hAnsi="AQA Chevin Pro Light"/>
        </w:rPr>
        <w:t>exhaustive;</w:t>
      </w:r>
      <w:r>
        <w:rPr>
          <w:rFonts w:ascii="AQA Chevin Pro Light" w:hAnsi="AQA Chevin Pro Light"/>
        </w:rPr>
        <w:t xml:space="preserve"> it only suggests activities and resources you could find useful in your teaching.</w:t>
      </w:r>
    </w:p>
    <w:p w:rsidR="00086323" w:rsidRDefault="00086323">
      <w:pPr>
        <w:spacing w:line="240" w:lineRule="auto"/>
        <w:rPr>
          <w:rFonts w:ascii="AQA Chevin Pro Light" w:hAnsi="AQA Chevin Pro Light" w:cs="Arial"/>
          <w:b/>
          <w:sz w:val="20"/>
          <w:szCs w:val="20"/>
        </w:rPr>
      </w:pPr>
      <w:r>
        <w:rPr>
          <w:rFonts w:ascii="AQA Chevin Pro Light" w:hAnsi="AQA Chevin Pro Light" w:cs="Arial"/>
          <w:b/>
          <w:sz w:val="20"/>
          <w:szCs w:val="20"/>
        </w:rPr>
        <w:br w:type="page"/>
      </w:r>
    </w:p>
    <w:p w:rsidR="00086323" w:rsidRPr="00EF6436" w:rsidRDefault="00040DA1" w:rsidP="00EF6436">
      <w:pPr>
        <w:pStyle w:val="Heading3"/>
      </w:pPr>
      <w:r w:rsidRPr="00EF6436">
        <w:lastRenderedPageBreak/>
        <w:t>5</w:t>
      </w:r>
      <w:r w:rsidR="00286036" w:rsidRPr="00EF6436">
        <w:t>.</w:t>
      </w:r>
      <w:r w:rsidR="00567B5F" w:rsidRPr="00EF6436">
        <w:t>5</w:t>
      </w:r>
      <w:r w:rsidR="00286036" w:rsidRPr="00EF6436">
        <w:t xml:space="preserve"> </w:t>
      </w:r>
      <w:r w:rsidR="00567B5F" w:rsidRPr="00EF6436">
        <w:t>Energy</w:t>
      </w:r>
      <w:r w:rsidR="00286036" w:rsidRPr="00EF6436">
        <w:t xml:space="preserve"> changes</w:t>
      </w:r>
    </w:p>
    <w:p w:rsidR="00086323" w:rsidRDefault="00040DA1" w:rsidP="00EF6436">
      <w:pPr>
        <w:pStyle w:val="Heading4"/>
      </w:pPr>
      <w:r>
        <w:t>5</w:t>
      </w:r>
      <w:r w:rsidR="00567B5F" w:rsidRPr="00567B5F">
        <w:t>.5.1 Exothermic and endothermic reactions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835"/>
        <w:gridCol w:w="2410"/>
        <w:gridCol w:w="1134"/>
        <w:gridCol w:w="2693"/>
        <w:gridCol w:w="2761"/>
        <w:gridCol w:w="1906"/>
      </w:tblGrid>
      <w:tr w:rsidR="009907CF" w:rsidRPr="009A69A5" w:rsidTr="009907CF">
        <w:trPr>
          <w:cantSplit/>
          <w:trHeight w:val="1832"/>
          <w:tblHeader/>
        </w:trPr>
        <w:tc>
          <w:tcPr>
            <w:tcW w:w="959" w:type="dxa"/>
            <w:tcBorders>
              <w:right w:val="single" w:sz="4" w:space="0" w:color="000000"/>
            </w:tcBorders>
            <w:shd w:val="clear" w:color="auto" w:fill="D9D9D9"/>
          </w:tcPr>
          <w:p w:rsidR="00767AB5" w:rsidRPr="00086323" w:rsidRDefault="00767AB5" w:rsidP="00086323">
            <w:pPr>
              <w:rPr>
                <w:rFonts w:ascii="AQA Chevin Pro Light" w:hAnsi="AQA Chevin Pro Light"/>
                <w:b/>
                <w:sz w:val="20"/>
              </w:rPr>
            </w:pPr>
            <w:r w:rsidRPr="00086323">
              <w:rPr>
                <w:rFonts w:ascii="AQA Chevin Pro Light" w:hAnsi="AQA Chevin Pro Light"/>
                <w:b/>
                <w:sz w:val="20"/>
              </w:rPr>
              <w:t xml:space="preserve">Spec </w:t>
            </w:r>
            <w:r w:rsidR="00086323" w:rsidRPr="00086323">
              <w:rPr>
                <w:rFonts w:ascii="AQA Chevin Pro Light" w:hAnsi="AQA Chevin Pro Light"/>
                <w:b/>
                <w:sz w:val="20"/>
              </w:rPr>
              <w:t>ref.</w:t>
            </w:r>
          </w:p>
        </w:tc>
        <w:tc>
          <w:tcPr>
            <w:tcW w:w="2835" w:type="dxa"/>
            <w:tcBorders>
              <w:left w:val="single" w:sz="4" w:space="0" w:color="000000"/>
            </w:tcBorders>
            <w:shd w:val="clear" w:color="auto" w:fill="D9D9D9"/>
          </w:tcPr>
          <w:p w:rsidR="00767AB5" w:rsidRPr="00086323" w:rsidRDefault="00086323" w:rsidP="00086323">
            <w:pPr>
              <w:rPr>
                <w:rFonts w:ascii="AQA Chevin Pro Light" w:hAnsi="AQA Chevin Pro Light"/>
                <w:b/>
                <w:sz w:val="20"/>
              </w:rPr>
            </w:pPr>
            <w:r w:rsidRPr="00086323">
              <w:rPr>
                <w:rFonts w:ascii="AQA Chevin Pro Light" w:hAnsi="AQA Chevin Pro Light"/>
                <w:b/>
                <w:sz w:val="20"/>
              </w:rPr>
              <w:t>Summary of the specification c</w:t>
            </w:r>
            <w:r w:rsidR="00767AB5" w:rsidRPr="00086323">
              <w:rPr>
                <w:rFonts w:ascii="AQA Chevin Pro Light" w:hAnsi="AQA Chevin Pro Light"/>
                <w:b/>
                <w:sz w:val="20"/>
              </w:rPr>
              <w:t>ontent</w:t>
            </w:r>
          </w:p>
        </w:tc>
        <w:tc>
          <w:tcPr>
            <w:tcW w:w="2410" w:type="dxa"/>
            <w:shd w:val="clear" w:color="auto" w:fill="D9D9D9"/>
          </w:tcPr>
          <w:p w:rsidR="00767AB5" w:rsidRPr="00086323" w:rsidRDefault="00086323" w:rsidP="00086323">
            <w:pPr>
              <w:rPr>
                <w:rFonts w:ascii="AQA Chevin Pro Light" w:hAnsi="AQA Chevin Pro Light"/>
                <w:b/>
                <w:sz w:val="20"/>
              </w:rPr>
            </w:pPr>
            <w:r w:rsidRPr="00086323">
              <w:rPr>
                <w:rFonts w:ascii="AQA Chevin Pro Light" w:hAnsi="AQA Chevin Pro Light"/>
                <w:b/>
                <w:sz w:val="20"/>
              </w:rPr>
              <w:t>Learning o</w:t>
            </w:r>
            <w:r w:rsidR="00767AB5" w:rsidRPr="00086323">
              <w:rPr>
                <w:rFonts w:ascii="AQA Chevin Pro Light" w:hAnsi="AQA Chevin Pro Light"/>
                <w:b/>
                <w:sz w:val="20"/>
              </w:rPr>
              <w:t xml:space="preserve">utcomes </w:t>
            </w:r>
          </w:p>
          <w:p w:rsidR="00767AB5" w:rsidRPr="00086323" w:rsidRDefault="00767AB5" w:rsidP="00086323">
            <w:pPr>
              <w:rPr>
                <w:rFonts w:ascii="AQA Chevin Pro Light" w:hAnsi="AQA Chevin Pro Light"/>
                <w:i/>
                <w:sz w:val="20"/>
              </w:rPr>
            </w:pPr>
            <w:r w:rsidRPr="00086323">
              <w:rPr>
                <w:rFonts w:ascii="AQA Chevin Pro Light" w:hAnsi="AQA Chevin Pro Light"/>
                <w:i/>
                <w:sz w:val="20"/>
              </w:rPr>
              <w:t>What most candidates should be able to do</w:t>
            </w:r>
          </w:p>
        </w:tc>
        <w:tc>
          <w:tcPr>
            <w:tcW w:w="1134" w:type="dxa"/>
            <w:shd w:val="clear" w:color="auto" w:fill="D9D9D9"/>
          </w:tcPr>
          <w:p w:rsidR="00767AB5" w:rsidRPr="00086323" w:rsidRDefault="00767AB5" w:rsidP="00086323">
            <w:pPr>
              <w:rPr>
                <w:rFonts w:ascii="AQA Chevin Pro Light" w:hAnsi="AQA Chevin Pro Light"/>
                <w:b/>
                <w:sz w:val="20"/>
              </w:rPr>
            </w:pPr>
            <w:r w:rsidRPr="00086323">
              <w:rPr>
                <w:rFonts w:ascii="AQA Chevin Pro Light" w:hAnsi="AQA Chevin Pro Light"/>
                <w:b/>
                <w:sz w:val="20"/>
              </w:rPr>
              <w:t>Suggested timing (hours)</w:t>
            </w:r>
          </w:p>
        </w:tc>
        <w:tc>
          <w:tcPr>
            <w:tcW w:w="2693" w:type="dxa"/>
            <w:shd w:val="clear" w:color="auto" w:fill="D9D9D9"/>
          </w:tcPr>
          <w:p w:rsidR="00767AB5" w:rsidRPr="00A729BC" w:rsidRDefault="00767AB5" w:rsidP="00086323">
            <w:pPr>
              <w:rPr>
                <w:rFonts w:ascii="AQA Chevin Pro Light" w:hAnsi="AQA Chevin Pro Light"/>
                <w:b/>
                <w:sz w:val="20"/>
              </w:rPr>
            </w:pPr>
            <w:r w:rsidRPr="00A729BC">
              <w:rPr>
                <w:rFonts w:ascii="AQA Chevin Pro Light" w:hAnsi="AQA Chevin Pro Light"/>
                <w:b/>
                <w:sz w:val="20"/>
              </w:rPr>
              <w:t>Opportunities to develop Scientific Communication skills</w:t>
            </w:r>
          </w:p>
        </w:tc>
        <w:tc>
          <w:tcPr>
            <w:tcW w:w="2761" w:type="dxa"/>
            <w:shd w:val="clear" w:color="auto" w:fill="D9D9D9"/>
          </w:tcPr>
          <w:p w:rsidR="00767AB5" w:rsidRPr="00086323" w:rsidRDefault="00767AB5" w:rsidP="00086323">
            <w:pPr>
              <w:rPr>
                <w:rFonts w:ascii="AQA Chevin Pro Light" w:hAnsi="AQA Chevin Pro Light"/>
                <w:b/>
                <w:sz w:val="20"/>
              </w:rPr>
            </w:pPr>
            <w:r w:rsidRPr="00086323">
              <w:rPr>
                <w:rFonts w:ascii="AQA Chevin Pro Light" w:hAnsi="AQA Chevin Pro Light"/>
                <w:b/>
                <w:sz w:val="20"/>
              </w:rPr>
              <w:t>Oppor</w:t>
            </w:r>
            <w:r w:rsidR="00086323" w:rsidRPr="00086323">
              <w:rPr>
                <w:rFonts w:ascii="AQA Chevin Pro Light" w:hAnsi="AQA Chevin Pro Light"/>
                <w:b/>
                <w:sz w:val="20"/>
              </w:rPr>
              <w:t>tunities to develop and apply practical and</w:t>
            </w:r>
            <w:r w:rsidRPr="00086323">
              <w:rPr>
                <w:rFonts w:ascii="AQA Chevin Pro Light" w:hAnsi="AQA Chevin Pro Light"/>
                <w:b/>
                <w:sz w:val="20"/>
              </w:rPr>
              <w:t xml:space="preserve"> </w:t>
            </w:r>
            <w:r w:rsidR="00086323" w:rsidRPr="00086323">
              <w:rPr>
                <w:rFonts w:ascii="AQA Chevin Pro Light" w:hAnsi="AQA Chevin Pro Light"/>
                <w:b/>
                <w:sz w:val="20"/>
              </w:rPr>
              <w:t>e</w:t>
            </w:r>
            <w:r w:rsidRPr="00086323">
              <w:rPr>
                <w:rFonts w:ascii="AQA Chevin Pro Light" w:hAnsi="AQA Chevin Pro Light"/>
                <w:b/>
                <w:sz w:val="20"/>
              </w:rPr>
              <w:t>nquiry skills</w:t>
            </w:r>
          </w:p>
        </w:tc>
        <w:tc>
          <w:tcPr>
            <w:tcW w:w="1906" w:type="dxa"/>
            <w:shd w:val="clear" w:color="auto" w:fill="D9D9D9"/>
          </w:tcPr>
          <w:p w:rsidR="00767AB5" w:rsidRPr="00086323" w:rsidRDefault="00086323" w:rsidP="00086323">
            <w:pPr>
              <w:rPr>
                <w:rFonts w:ascii="AQA Chevin Pro Light" w:hAnsi="AQA Chevin Pro Light"/>
                <w:b/>
                <w:sz w:val="20"/>
              </w:rPr>
            </w:pPr>
            <w:r w:rsidRPr="00086323">
              <w:rPr>
                <w:rFonts w:ascii="AQA Chevin Pro Light" w:hAnsi="AQA Chevin Pro Light"/>
                <w:b/>
                <w:sz w:val="20"/>
              </w:rPr>
              <w:t>Self/p</w:t>
            </w:r>
            <w:r w:rsidR="00767AB5" w:rsidRPr="00086323">
              <w:rPr>
                <w:rFonts w:ascii="AQA Chevin Pro Light" w:hAnsi="AQA Chevin Pro Light"/>
                <w:b/>
                <w:sz w:val="20"/>
              </w:rPr>
              <w:t>eer assessment</w:t>
            </w:r>
            <w:r w:rsidRPr="00086323">
              <w:rPr>
                <w:rFonts w:ascii="AQA Chevin Pro Light" w:hAnsi="AQA Chevin Pro Light"/>
                <w:b/>
                <w:sz w:val="20"/>
              </w:rPr>
              <w:t xml:space="preserve"> opportunities and</w:t>
            </w:r>
            <w:r w:rsidR="00767AB5" w:rsidRPr="00086323">
              <w:rPr>
                <w:rFonts w:ascii="AQA Chevin Pro Light" w:hAnsi="AQA Chevin Pro Light"/>
                <w:b/>
                <w:sz w:val="20"/>
              </w:rPr>
              <w:t xml:space="preserve"> resources</w:t>
            </w:r>
          </w:p>
          <w:p w:rsidR="00767AB5" w:rsidRPr="00086323" w:rsidRDefault="00086323" w:rsidP="00086323">
            <w:pPr>
              <w:rPr>
                <w:rFonts w:ascii="AQA Chevin Pro Light" w:hAnsi="AQA Chevin Pro Light"/>
                <w:i/>
                <w:sz w:val="20"/>
              </w:rPr>
            </w:pPr>
            <w:r w:rsidRPr="00086323">
              <w:rPr>
                <w:rFonts w:ascii="AQA Chevin Pro Light" w:hAnsi="AQA Chevin Pro Light"/>
                <w:i/>
                <w:sz w:val="20"/>
              </w:rPr>
              <w:t>R</w:t>
            </w:r>
            <w:r w:rsidR="00767AB5" w:rsidRPr="00086323">
              <w:rPr>
                <w:rFonts w:ascii="AQA Chevin Pro Light" w:hAnsi="AQA Chevin Pro Light"/>
                <w:i/>
                <w:sz w:val="20"/>
              </w:rPr>
              <w:t xml:space="preserve">eference to past questions that indicate success </w:t>
            </w:r>
          </w:p>
        </w:tc>
      </w:tr>
      <w:tr w:rsidR="00EF1576" w:rsidRPr="009A69A5" w:rsidTr="009907CF">
        <w:tc>
          <w:tcPr>
            <w:tcW w:w="959" w:type="dxa"/>
            <w:tcBorders>
              <w:right w:val="single" w:sz="4" w:space="0" w:color="000000"/>
            </w:tcBorders>
          </w:tcPr>
          <w:p w:rsidR="00EF1576" w:rsidRDefault="00EF1576" w:rsidP="00EF1576">
            <w:pPr>
              <w:spacing w:line="240" w:lineRule="auto"/>
              <w:rPr>
                <w:rFonts w:cs="Arial"/>
                <w:sz w:val="20"/>
                <w:szCs w:val="20"/>
              </w:rPr>
            </w:pPr>
            <w:r>
              <w:rPr>
                <w:rFonts w:cs="Arial"/>
                <w:sz w:val="20"/>
                <w:szCs w:val="20"/>
              </w:rPr>
              <w:t>5.5.1.1</w:t>
            </w:r>
          </w:p>
        </w:tc>
        <w:tc>
          <w:tcPr>
            <w:tcW w:w="2835" w:type="dxa"/>
            <w:tcBorders>
              <w:left w:val="single" w:sz="4" w:space="0" w:color="000000"/>
            </w:tcBorders>
          </w:tcPr>
          <w:p w:rsidR="00EF1576" w:rsidRDefault="00EF1576" w:rsidP="00EF1576">
            <w:pPr>
              <w:spacing w:line="240" w:lineRule="auto"/>
              <w:rPr>
                <w:rFonts w:cs="Arial"/>
                <w:sz w:val="20"/>
                <w:szCs w:val="20"/>
              </w:rPr>
            </w:pPr>
            <w:r w:rsidRPr="00AF6BC3">
              <w:rPr>
                <w:rFonts w:cs="Arial"/>
                <w:sz w:val="20"/>
                <w:szCs w:val="20"/>
              </w:rPr>
              <w:t>Energy is conserved in chemical reactions. The amount of energy in the universe at the end of a chemical reaction is the same as before the reaction takes place. If a reaction transfers energy to the surroundings the product molecules must have less energy than the reactants, by the amount transferred.</w:t>
            </w:r>
          </w:p>
          <w:p w:rsidR="00EF1576" w:rsidRDefault="00EF1576" w:rsidP="00EF1576">
            <w:pPr>
              <w:spacing w:line="240" w:lineRule="auto"/>
              <w:rPr>
                <w:rFonts w:cs="Arial"/>
                <w:sz w:val="20"/>
                <w:szCs w:val="20"/>
              </w:rPr>
            </w:pPr>
          </w:p>
          <w:p w:rsidR="00EF1576" w:rsidRDefault="00EF1576" w:rsidP="00EF1576">
            <w:pPr>
              <w:spacing w:line="240" w:lineRule="auto"/>
              <w:rPr>
                <w:rFonts w:cs="Arial"/>
                <w:sz w:val="20"/>
                <w:szCs w:val="20"/>
              </w:rPr>
            </w:pPr>
            <w:r w:rsidRPr="00AF6BC3">
              <w:rPr>
                <w:rFonts w:cs="Arial"/>
                <w:sz w:val="20"/>
                <w:szCs w:val="20"/>
              </w:rPr>
              <w:t>An exothermic reaction is one that transfers energy to the surroundings so the temperature of the surroundings increases.</w:t>
            </w:r>
          </w:p>
          <w:p w:rsidR="00EF1576" w:rsidRDefault="00EF1576" w:rsidP="00EF1576">
            <w:pPr>
              <w:spacing w:line="240" w:lineRule="auto"/>
              <w:rPr>
                <w:rFonts w:cs="Arial"/>
                <w:sz w:val="20"/>
                <w:szCs w:val="20"/>
              </w:rPr>
            </w:pPr>
          </w:p>
          <w:p w:rsidR="00EF1576" w:rsidRDefault="00EF1576" w:rsidP="00EF1576">
            <w:pPr>
              <w:spacing w:line="240" w:lineRule="auto"/>
              <w:rPr>
                <w:rFonts w:cs="Arial"/>
                <w:sz w:val="20"/>
                <w:szCs w:val="20"/>
              </w:rPr>
            </w:pPr>
            <w:r w:rsidRPr="00AF6BC3">
              <w:rPr>
                <w:rFonts w:cs="Arial"/>
                <w:sz w:val="20"/>
                <w:szCs w:val="20"/>
              </w:rPr>
              <w:t>Exothermic reactions include combustion, many oxidation reactions and neutralisation.</w:t>
            </w:r>
          </w:p>
          <w:p w:rsidR="00EF1576" w:rsidRDefault="00EF1576" w:rsidP="00EF1576">
            <w:pPr>
              <w:spacing w:line="240" w:lineRule="auto"/>
              <w:rPr>
                <w:rFonts w:cs="Arial"/>
                <w:sz w:val="20"/>
                <w:szCs w:val="20"/>
              </w:rPr>
            </w:pPr>
          </w:p>
          <w:p w:rsidR="00EF1576" w:rsidRDefault="00EF1576" w:rsidP="00EF1576">
            <w:pPr>
              <w:spacing w:line="240" w:lineRule="auto"/>
              <w:rPr>
                <w:rFonts w:cs="Arial"/>
                <w:sz w:val="20"/>
                <w:szCs w:val="20"/>
              </w:rPr>
            </w:pPr>
            <w:r w:rsidRPr="00AF6BC3">
              <w:rPr>
                <w:rFonts w:cs="Arial"/>
                <w:sz w:val="20"/>
                <w:szCs w:val="20"/>
              </w:rPr>
              <w:t>Everyday uses of exothermic reactions include self-heating cans and hand warmers.</w:t>
            </w:r>
          </w:p>
          <w:p w:rsidR="00EF1576" w:rsidRDefault="00EF1576" w:rsidP="00EF1576">
            <w:pPr>
              <w:spacing w:line="240" w:lineRule="auto"/>
              <w:rPr>
                <w:rFonts w:cs="Arial"/>
                <w:sz w:val="20"/>
                <w:szCs w:val="20"/>
              </w:rPr>
            </w:pPr>
          </w:p>
          <w:p w:rsidR="00EF1576" w:rsidRDefault="00EF1576" w:rsidP="00EF1576">
            <w:pPr>
              <w:spacing w:line="240" w:lineRule="auto"/>
              <w:rPr>
                <w:rFonts w:cs="Arial"/>
                <w:sz w:val="20"/>
                <w:szCs w:val="20"/>
              </w:rPr>
            </w:pPr>
            <w:r w:rsidRPr="00AF6BC3">
              <w:rPr>
                <w:rFonts w:cs="Arial"/>
                <w:sz w:val="20"/>
                <w:szCs w:val="20"/>
              </w:rPr>
              <w:lastRenderedPageBreak/>
              <w:t>An endothermic reaction is one that takes in energy from the surroundings so the temperature of the surroundings decreases.</w:t>
            </w:r>
          </w:p>
          <w:p w:rsidR="00EF1576" w:rsidRDefault="00EF1576" w:rsidP="00EF1576">
            <w:pPr>
              <w:spacing w:line="240" w:lineRule="auto"/>
              <w:rPr>
                <w:rFonts w:cs="Arial"/>
                <w:sz w:val="20"/>
                <w:szCs w:val="20"/>
              </w:rPr>
            </w:pPr>
          </w:p>
          <w:p w:rsidR="00EF1576" w:rsidRPr="00A729BC" w:rsidRDefault="00EF1576" w:rsidP="00EF1576">
            <w:pPr>
              <w:spacing w:line="240" w:lineRule="auto"/>
              <w:rPr>
                <w:rFonts w:cs="Arial"/>
                <w:sz w:val="20"/>
                <w:szCs w:val="20"/>
              </w:rPr>
            </w:pPr>
            <w:r w:rsidRPr="00AF6BC3">
              <w:rPr>
                <w:rFonts w:cs="Arial"/>
                <w:sz w:val="20"/>
                <w:szCs w:val="20"/>
              </w:rPr>
              <w:t xml:space="preserve">Endothermic reactions include thermal decompositions and the reaction of citric acid and sodium </w:t>
            </w:r>
            <w:proofErr w:type="spellStart"/>
            <w:r w:rsidRPr="00AF6BC3">
              <w:rPr>
                <w:rFonts w:cs="Arial"/>
                <w:sz w:val="20"/>
                <w:szCs w:val="20"/>
              </w:rPr>
              <w:t>hydrogencarbonate</w:t>
            </w:r>
            <w:proofErr w:type="spellEnd"/>
            <w:r w:rsidRPr="00AF6BC3">
              <w:rPr>
                <w:rFonts w:cs="Arial"/>
                <w:sz w:val="20"/>
                <w:szCs w:val="20"/>
              </w:rPr>
              <w:t>. Some sports injury packs are based on endothermic reactions.</w:t>
            </w:r>
          </w:p>
        </w:tc>
        <w:tc>
          <w:tcPr>
            <w:tcW w:w="2410" w:type="dxa"/>
          </w:tcPr>
          <w:p w:rsidR="00EF1576" w:rsidRDefault="00EF1576" w:rsidP="00EF1576">
            <w:pPr>
              <w:spacing w:line="240" w:lineRule="auto"/>
              <w:rPr>
                <w:rFonts w:cs="Arial"/>
                <w:sz w:val="20"/>
                <w:szCs w:val="20"/>
              </w:rPr>
            </w:pPr>
            <w:r>
              <w:rPr>
                <w:rFonts w:cs="Arial"/>
                <w:sz w:val="20"/>
                <w:szCs w:val="20"/>
              </w:rPr>
              <w:lastRenderedPageBreak/>
              <w:t>D</w:t>
            </w:r>
            <w:r w:rsidRPr="00567B5F">
              <w:rPr>
                <w:rFonts w:cs="Arial"/>
                <w:sz w:val="20"/>
                <w:szCs w:val="20"/>
              </w:rPr>
              <w:t>istinguish between exothermic and endothermic reactions on the basis of the temperature change of the surroundings</w:t>
            </w:r>
            <w:r>
              <w:rPr>
                <w:rFonts w:cs="Arial"/>
                <w:sz w:val="20"/>
                <w:szCs w:val="20"/>
              </w:rPr>
              <w:t>.</w:t>
            </w:r>
          </w:p>
          <w:p w:rsidR="00EF1576" w:rsidRDefault="00EF1576" w:rsidP="00EF1576">
            <w:pPr>
              <w:spacing w:line="240" w:lineRule="auto"/>
              <w:rPr>
                <w:rFonts w:cs="Arial"/>
                <w:sz w:val="20"/>
                <w:szCs w:val="20"/>
              </w:rPr>
            </w:pPr>
          </w:p>
          <w:p w:rsidR="00EF1576" w:rsidRDefault="00EF1576" w:rsidP="00EF1576">
            <w:pPr>
              <w:spacing w:line="240" w:lineRule="auto"/>
              <w:rPr>
                <w:rFonts w:cs="Arial"/>
                <w:sz w:val="20"/>
                <w:szCs w:val="20"/>
              </w:rPr>
            </w:pPr>
            <w:r>
              <w:rPr>
                <w:rFonts w:cs="Arial"/>
                <w:sz w:val="20"/>
                <w:szCs w:val="20"/>
              </w:rPr>
              <w:t>E</w:t>
            </w:r>
            <w:r w:rsidRPr="00567B5F">
              <w:rPr>
                <w:rFonts w:cs="Arial"/>
                <w:sz w:val="20"/>
                <w:szCs w:val="20"/>
              </w:rPr>
              <w:t>valuate uses and applications of exothermic and endothermic reactions given appropriate information.</w:t>
            </w:r>
          </w:p>
          <w:p w:rsidR="00EF1576" w:rsidRPr="00567B5F" w:rsidRDefault="00EF1576" w:rsidP="00EF1576">
            <w:pPr>
              <w:spacing w:line="240" w:lineRule="auto"/>
              <w:ind w:left="204"/>
              <w:rPr>
                <w:rFonts w:cs="Arial"/>
                <w:sz w:val="20"/>
                <w:szCs w:val="20"/>
              </w:rPr>
            </w:pPr>
          </w:p>
          <w:p w:rsidR="00EF1576" w:rsidRPr="00EF6436" w:rsidRDefault="00EF1576" w:rsidP="00EF1576">
            <w:pPr>
              <w:spacing w:line="240" w:lineRule="auto"/>
              <w:rPr>
                <w:rFonts w:cs="Arial"/>
                <w:sz w:val="20"/>
                <w:szCs w:val="20"/>
              </w:rPr>
            </w:pPr>
            <w:r w:rsidRPr="00EF6436">
              <w:rPr>
                <w:rFonts w:cs="Arial"/>
                <w:sz w:val="20"/>
                <w:szCs w:val="20"/>
              </w:rPr>
              <w:t>Limited to measurement of temperature change. Calculation of energy changes or ΔH is not required.</w:t>
            </w:r>
          </w:p>
          <w:p w:rsidR="00EF1576" w:rsidRPr="00AF6BC3" w:rsidRDefault="00EF1576" w:rsidP="00EF1576">
            <w:pPr>
              <w:spacing w:line="240" w:lineRule="auto"/>
              <w:rPr>
                <w:rFonts w:cs="Arial"/>
                <w:i/>
                <w:sz w:val="20"/>
                <w:szCs w:val="20"/>
              </w:rPr>
            </w:pPr>
          </w:p>
          <w:p w:rsidR="00EF1576" w:rsidRPr="00E6417B" w:rsidRDefault="00EF1576" w:rsidP="00EF1576">
            <w:pPr>
              <w:spacing w:line="240" w:lineRule="auto"/>
              <w:rPr>
                <w:rFonts w:cs="Arial"/>
                <w:sz w:val="20"/>
                <w:szCs w:val="20"/>
              </w:rPr>
            </w:pPr>
            <w:r>
              <w:rPr>
                <w:rFonts w:cs="Arial"/>
                <w:sz w:val="20"/>
                <w:szCs w:val="20"/>
              </w:rPr>
              <w:t>WS 2.1, 2.2, 2.3, 2.4, 2.6, 2.7</w:t>
            </w:r>
          </w:p>
          <w:p w:rsidR="00EF1576" w:rsidRDefault="00EF1576" w:rsidP="00EF1576">
            <w:pPr>
              <w:spacing w:line="240" w:lineRule="auto"/>
              <w:rPr>
                <w:rFonts w:cs="Arial"/>
                <w:sz w:val="20"/>
                <w:szCs w:val="20"/>
              </w:rPr>
            </w:pPr>
          </w:p>
          <w:p w:rsidR="00EF1576" w:rsidRPr="00A729BC" w:rsidRDefault="00EF1576" w:rsidP="00EF1576">
            <w:pPr>
              <w:spacing w:line="240" w:lineRule="auto"/>
              <w:rPr>
                <w:rFonts w:cs="Arial"/>
                <w:sz w:val="20"/>
                <w:szCs w:val="20"/>
              </w:rPr>
            </w:pPr>
            <w:r>
              <w:rPr>
                <w:rFonts w:cs="Arial"/>
                <w:sz w:val="20"/>
                <w:szCs w:val="20"/>
              </w:rPr>
              <w:t>MS</w:t>
            </w:r>
            <w:r w:rsidRPr="00E6417B">
              <w:rPr>
                <w:rFonts w:cs="Arial"/>
                <w:sz w:val="20"/>
                <w:szCs w:val="20"/>
              </w:rPr>
              <w:t xml:space="preserve"> 1a, 2a, 2b, 4a, 4c</w:t>
            </w:r>
            <w:r>
              <w:rPr>
                <w:rFonts w:cs="Arial"/>
                <w:sz w:val="20"/>
                <w:szCs w:val="20"/>
              </w:rPr>
              <w:t>.</w:t>
            </w:r>
          </w:p>
        </w:tc>
        <w:tc>
          <w:tcPr>
            <w:tcW w:w="1134" w:type="dxa"/>
          </w:tcPr>
          <w:p w:rsidR="00EF1576" w:rsidRPr="00A729BC" w:rsidRDefault="00EF1576" w:rsidP="00EF1576">
            <w:pPr>
              <w:spacing w:line="240" w:lineRule="auto"/>
              <w:jc w:val="center"/>
              <w:rPr>
                <w:rFonts w:cs="Arial"/>
                <w:sz w:val="20"/>
                <w:szCs w:val="20"/>
              </w:rPr>
            </w:pPr>
            <w:r>
              <w:rPr>
                <w:rFonts w:cs="Arial"/>
                <w:sz w:val="20"/>
                <w:szCs w:val="20"/>
              </w:rPr>
              <w:t>2</w:t>
            </w:r>
          </w:p>
        </w:tc>
        <w:tc>
          <w:tcPr>
            <w:tcW w:w="2693" w:type="dxa"/>
          </w:tcPr>
          <w:p w:rsidR="00EF1576" w:rsidRPr="00286036" w:rsidRDefault="00EF1576" w:rsidP="00EF1576">
            <w:pPr>
              <w:spacing w:line="240" w:lineRule="auto"/>
              <w:rPr>
                <w:rFonts w:cs="Arial"/>
                <w:sz w:val="20"/>
                <w:szCs w:val="20"/>
              </w:rPr>
            </w:pPr>
            <w:r>
              <w:rPr>
                <w:rFonts w:cs="Arial"/>
                <w:sz w:val="20"/>
                <w:szCs w:val="20"/>
              </w:rPr>
              <w:t>Define the</w:t>
            </w:r>
            <w:r w:rsidRPr="00286036">
              <w:rPr>
                <w:rFonts w:cs="Arial"/>
                <w:sz w:val="20"/>
                <w:szCs w:val="20"/>
              </w:rPr>
              <w:t xml:space="preserve"> terms:</w:t>
            </w:r>
          </w:p>
          <w:p w:rsidR="00EF1576" w:rsidRPr="00567B5F" w:rsidRDefault="00EF1576" w:rsidP="00EF1576">
            <w:pPr>
              <w:numPr>
                <w:ilvl w:val="0"/>
                <w:numId w:val="12"/>
              </w:numPr>
              <w:spacing w:line="240" w:lineRule="auto"/>
              <w:ind w:left="204" w:hanging="142"/>
              <w:rPr>
                <w:rFonts w:cs="Arial"/>
                <w:sz w:val="20"/>
                <w:szCs w:val="20"/>
              </w:rPr>
            </w:pPr>
            <w:r w:rsidRPr="00567B5F">
              <w:rPr>
                <w:rFonts w:cs="Arial"/>
                <w:sz w:val="20"/>
                <w:szCs w:val="20"/>
              </w:rPr>
              <w:t>exothermic</w:t>
            </w:r>
          </w:p>
          <w:p w:rsidR="00EF1576" w:rsidRPr="00567B5F" w:rsidRDefault="00EF1576" w:rsidP="00EF1576">
            <w:pPr>
              <w:numPr>
                <w:ilvl w:val="0"/>
                <w:numId w:val="12"/>
              </w:numPr>
              <w:spacing w:line="240" w:lineRule="auto"/>
              <w:ind w:left="204" w:hanging="142"/>
              <w:rPr>
                <w:rFonts w:cs="Arial"/>
                <w:sz w:val="20"/>
                <w:szCs w:val="20"/>
              </w:rPr>
            </w:pPr>
            <w:proofErr w:type="gramStart"/>
            <w:r w:rsidRPr="00567B5F">
              <w:rPr>
                <w:rFonts w:cs="Arial"/>
                <w:sz w:val="20"/>
                <w:szCs w:val="20"/>
              </w:rPr>
              <w:t>endothermic</w:t>
            </w:r>
            <w:proofErr w:type="gramEnd"/>
            <w:r>
              <w:rPr>
                <w:rFonts w:cs="Arial"/>
                <w:sz w:val="20"/>
                <w:szCs w:val="20"/>
              </w:rPr>
              <w:t>.</w:t>
            </w:r>
          </w:p>
          <w:p w:rsidR="00EF1576" w:rsidRPr="00286036" w:rsidRDefault="00EF1576" w:rsidP="00EF1576">
            <w:pPr>
              <w:spacing w:line="240" w:lineRule="auto"/>
              <w:ind w:left="204"/>
              <w:rPr>
                <w:rFonts w:cs="Arial"/>
                <w:sz w:val="20"/>
                <w:szCs w:val="20"/>
              </w:rPr>
            </w:pPr>
          </w:p>
          <w:p w:rsidR="00EF1576" w:rsidRPr="00E6417B" w:rsidRDefault="00EF1576" w:rsidP="00EF1576">
            <w:pPr>
              <w:spacing w:line="240" w:lineRule="auto"/>
              <w:rPr>
                <w:rFonts w:cs="Arial"/>
                <w:sz w:val="20"/>
                <w:szCs w:val="20"/>
              </w:rPr>
            </w:pPr>
            <w:r w:rsidRPr="00E6417B">
              <w:rPr>
                <w:rFonts w:cs="Arial"/>
                <w:sz w:val="20"/>
                <w:szCs w:val="20"/>
              </w:rPr>
              <w:t>Write-up the practical investigations ensuring the following are included:</w:t>
            </w:r>
          </w:p>
          <w:p w:rsidR="00EF1576" w:rsidRPr="00E6417B" w:rsidRDefault="00EF1576" w:rsidP="00EF1576">
            <w:pPr>
              <w:numPr>
                <w:ilvl w:val="0"/>
                <w:numId w:val="31"/>
              </w:numPr>
              <w:spacing w:line="240" w:lineRule="auto"/>
              <w:ind w:left="204" w:hanging="142"/>
              <w:rPr>
                <w:rFonts w:cs="Arial"/>
                <w:sz w:val="20"/>
                <w:szCs w:val="20"/>
              </w:rPr>
            </w:pPr>
            <w:r w:rsidRPr="00E6417B">
              <w:rPr>
                <w:rFonts w:cs="Arial"/>
                <w:sz w:val="20"/>
                <w:szCs w:val="20"/>
              </w:rPr>
              <w:t>hypothesis</w:t>
            </w:r>
          </w:p>
          <w:p w:rsidR="00EF1576" w:rsidRPr="00E6417B" w:rsidRDefault="00EF1576" w:rsidP="00EF1576">
            <w:pPr>
              <w:numPr>
                <w:ilvl w:val="0"/>
                <w:numId w:val="31"/>
              </w:numPr>
              <w:spacing w:line="240" w:lineRule="auto"/>
              <w:ind w:left="204" w:hanging="142"/>
              <w:rPr>
                <w:rFonts w:cs="Arial"/>
                <w:sz w:val="20"/>
                <w:szCs w:val="20"/>
              </w:rPr>
            </w:pPr>
            <w:r w:rsidRPr="00E6417B">
              <w:rPr>
                <w:rFonts w:cs="Arial"/>
                <w:sz w:val="20"/>
                <w:szCs w:val="20"/>
              </w:rPr>
              <w:t>plan including identification of the independent, dependent and control variables</w:t>
            </w:r>
          </w:p>
          <w:p w:rsidR="00EF1576" w:rsidRPr="00E6417B" w:rsidRDefault="00EF1576" w:rsidP="00EF1576">
            <w:pPr>
              <w:numPr>
                <w:ilvl w:val="0"/>
                <w:numId w:val="31"/>
              </w:numPr>
              <w:spacing w:line="240" w:lineRule="auto"/>
              <w:ind w:left="204" w:hanging="142"/>
              <w:rPr>
                <w:rFonts w:cs="Arial"/>
                <w:sz w:val="20"/>
                <w:szCs w:val="20"/>
              </w:rPr>
            </w:pPr>
            <w:r w:rsidRPr="00E6417B">
              <w:rPr>
                <w:rFonts w:cs="Arial"/>
                <w:sz w:val="20"/>
                <w:szCs w:val="20"/>
              </w:rPr>
              <w:t>data collection</w:t>
            </w:r>
          </w:p>
          <w:p w:rsidR="00EF1576" w:rsidRPr="00E6417B" w:rsidRDefault="00EF1576" w:rsidP="00EF1576">
            <w:pPr>
              <w:numPr>
                <w:ilvl w:val="0"/>
                <w:numId w:val="31"/>
              </w:numPr>
              <w:spacing w:line="240" w:lineRule="auto"/>
              <w:ind w:left="204" w:hanging="142"/>
              <w:rPr>
                <w:rFonts w:cs="Arial"/>
                <w:sz w:val="20"/>
                <w:szCs w:val="20"/>
              </w:rPr>
            </w:pPr>
            <w:r w:rsidRPr="00E6417B">
              <w:rPr>
                <w:rFonts w:cs="Arial"/>
                <w:sz w:val="20"/>
                <w:szCs w:val="20"/>
              </w:rPr>
              <w:t>analysis of results</w:t>
            </w:r>
          </w:p>
          <w:p w:rsidR="00EF1576" w:rsidRPr="00A729BC" w:rsidRDefault="00EF1576" w:rsidP="00EF1576">
            <w:pPr>
              <w:numPr>
                <w:ilvl w:val="0"/>
                <w:numId w:val="31"/>
              </w:numPr>
              <w:spacing w:line="240" w:lineRule="auto"/>
              <w:ind w:left="204" w:hanging="142"/>
              <w:rPr>
                <w:rFonts w:cs="Arial"/>
                <w:sz w:val="20"/>
                <w:szCs w:val="20"/>
              </w:rPr>
            </w:pPr>
            <w:proofErr w:type="gramStart"/>
            <w:r w:rsidRPr="00E6417B">
              <w:rPr>
                <w:rFonts w:cs="Arial"/>
                <w:sz w:val="20"/>
                <w:szCs w:val="20"/>
              </w:rPr>
              <w:t>evaluation</w:t>
            </w:r>
            <w:proofErr w:type="gramEnd"/>
            <w:r w:rsidRPr="00E6417B">
              <w:rPr>
                <w:rFonts w:cs="Arial"/>
                <w:sz w:val="20"/>
                <w:szCs w:val="20"/>
              </w:rPr>
              <w:t xml:space="preserve"> of the results and plan</w:t>
            </w:r>
            <w:r>
              <w:rPr>
                <w:rFonts w:cs="Arial"/>
                <w:sz w:val="20"/>
                <w:szCs w:val="20"/>
              </w:rPr>
              <w:t>.</w:t>
            </w:r>
          </w:p>
        </w:tc>
        <w:tc>
          <w:tcPr>
            <w:tcW w:w="2761" w:type="dxa"/>
          </w:tcPr>
          <w:p w:rsidR="00EF1576" w:rsidRPr="00AF6BC3" w:rsidRDefault="00EF1576" w:rsidP="00EF1576">
            <w:pPr>
              <w:spacing w:line="240" w:lineRule="auto"/>
              <w:ind w:left="31"/>
              <w:rPr>
                <w:rFonts w:cs="Arial"/>
                <w:b/>
                <w:sz w:val="20"/>
                <w:szCs w:val="20"/>
              </w:rPr>
            </w:pPr>
            <w:r>
              <w:rPr>
                <w:rFonts w:cs="Arial"/>
                <w:b/>
                <w:sz w:val="20"/>
                <w:szCs w:val="20"/>
              </w:rPr>
              <w:t>Required practical 10</w:t>
            </w:r>
            <w:r w:rsidRPr="00AF6BC3">
              <w:rPr>
                <w:rFonts w:cs="Arial"/>
                <w:b/>
                <w:sz w:val="20"/>
                <w:szCs w:val="20"/>
              </w:rPr>
              <w:t xml:space="preserve">: </w:t>
            </w:r>
          </w:p>
          <w:p w:rsidR="00EF1576" w:rsidRDefault="00EF1576" w:rsidP="00EF1576">
            <w:pPr>
              <w:spacing w:line="240" w:lineRule="auto"/>
              <w:ind w:left="31"/>
              <w:rPr>
                <w:rFonts w:cs="Arial"/>
                <w:sz w:val="20"/>
                <w:szCs w:val="20"/>
              </w:rPr>
            </w:pPr>
          </w:p>
          <w:p w:rsidR="00EF1576" w:rsidRDefault="00EF1576" w:rsidP="00EF1576">
            <w:pPr>
              <w:spacing w:line="240" w:lineRule="auto"/>
              <w:ind w:left="31"/>
              <w:rPr>
                <w:rFonts w:cs="Arial"/>
                <w:sz w:val="20"/>
                <w:szCs w:val="20"/>
              </w:rPr>
            </w:pPr>
            <w:r>
              <w:rPr>
                <w:rFonts w:cs="Arial"/>
                <w:sz w:val="20"/>
                <w:szCs w:val="20"/>
              </w:rPr>
              <w:t>I</w:t>
            </w:r>
            <w:r w:rsidRPr="00AF6BC3">
              <w:rPr>
                <w:rFonts w:cs="Arial"/>
                <w:sz w:val="20"/>
                <w:szCs w:val="20"/>
              </w:rPr>
              <w:t xml:space="preserve">nvestigate the variables that affect temperature changes in reacting solutions such as, </w:t>
            </w:r>
            <w:proofErr w:type="spellStart"/>
            <w:r w:rsidRPr="00AF6BC3">
              <w:rPr>
                <w:rFonts w:cs="Arial"/>
                <w:sz w:val="20"/>
                <w:szCs w:val="20"/>
              </w:rPr>
              <w:t>eg</w:t>
            </w:r>
            <w:proofErr w:type="spellEnd"/>
            <w:r w:rsidRPr="00AF6BC3">
              <w:rPr>
                <w:rFonts w:cs="Arial"/>
                <w:sz w:val="20"/>
                <w:szCs w:val="20"/>
              </w:rPr>
              <w:t xml:space="preserve"> acid plus metals, acid plus carbonates, neutralisations, displacement of metals.</w:t>
            </w:r>
          </w:p>
          <w:p w:rsidR="00EF1576" w:rsidRDefault="00EF1576" w:rsidP="00EF1576">
            <w:pPr>
              <w:spacing w:line="240" w:lineRule="auto"/>
              <w:ind w:left="31"/>
              <w:rPr>
                <w:rFonts w:cs="Arial"/>
                <w:sz w:val="20"/>
                <w:szCs w:val="20"/>
              </w:rPr>
            </w:pPr>
          </w:p>
          <w:p w:rsidR="00EF1576" w:rsidRPr="00A729BC" w:rsidRDefault="00EF1576" w:rsidP="00EF1576">
            <w:pPr>
              <w:spacing w:line="240" w:lineRule="auto"/>
              <w:ind w:left="31"/>
              <w:rPr>
                <w:rFonts w:cs="Arial"/>
                <w:sz w:val="20"/>
                <w:szCs w:val="20"/>
              </w:rPr>
            </w:pPr>
            <w:r w:rsidRPr="00AF6BC3">
              <w:rPr>
                <w:rFonts w:cs="Arial"/>
                <w:sz w:val="20"/>
                <w:szCs w:val="20"/>
              </w:rPr>
              <w:t>AT skills covered by this practical activity: 1, 3, 5 and 6.</w:t>
            </w:r>
          </w:p>
        </w:tc>
        <w:tc>
          <w:tcPr>
            <w:tcW w:w="1906" w:type="dxa"/>
          </w:tcPr>
          <w:p w:rsidR="00EF1576" w:rsidRDefault="00EF1576" w:rsidP="00EF1576">
            <w:pPr>
              <w:spacing w:line="240" w:lineRule="auto"/>
              <w:rPr>
                <w:rFonts w:cs="Arial"/>
                <w:sz w:val="20"/>
                <w:szCs w:val="20"/>
              </w:rPr>
            </w:pPr>
            <w:r>
              <w:rPr>
                <w:rFonts w:cs="Arial"/>
                <w:sz w:val="20"/>
                <w:szCs w:val="20"/>
              </w:rPr>
              <w:t>Video clips:</w:t>
            </w:r>
          </w:p>
          <w:p w:rsidR="00EF1576" w:rsidRPr="00567B5F" w:rsidRDefault="005518C4" w:rsidP="00EF1576">
            <w:pPr>
              <w:spacing w:line="240" w:lineRule="auto"/>
              <w:rPr>
                <w:rFonts w:cs="Arial"/>
                <w:sz w:val="20"/>
                <w:szCs w:val="20"/>
              </w:rPr>
            </w:pPr>
            <w:hyperlink r:id="rId9" w:history="1">
              <w:r w:rsidR="00EF1576">
                <w:rPr>
                  <w:rStyle w:val="Hyperlink"/>
                  <w:rFonts w:cs="Arial"/>
                  <w:sz w:val="20"/>
                  <w:szCs w:val="20"/>
                </w:rPr>
                <w:t>BBC Bitesize Endothermic and exothermic reactions</w:t>
              </w:r>
            </w:hyperlink>
            <w:r w:rsidR="00EF1576" w:rsidRPr="00567B5F">
              <w:rPr>
                <w:rFonts w:cs="Arial"/>
                <w:sz w:val="20"/>
                <w:szCs w:val="20"/>
              </w:rPr>
              <w:t xml:space="preserve"> </w:t>
            </w:r>
          </w:p>
          <w:p w:rsidR="00EF1576" w:rsidRDefault="00EF1576" w:rsidP="00EF1576">
            <w:pPr>
              <w:spacing w:line="240" w:lineRule="auto"/>
              <w:rPr>
                <w:rFonts w:cs="Arial"/>
                <w:sz w:val="20"/>
                <w:szCs w:val="20"/>
              </w:rPr>
            </w:pPr>
          </w:p>
          <w:p w:rsidR="00EF1576" w:rsidRPr="00567B5F" w:rsidRDefault="00EF1576" w:rsidP="00EF1576">
            <w:pPr>
              <w:spacing w:line="240" w:lineRule="auto"/>
              <w:rPr>
                <w:rFonts w:cs="Arial"/>
                <w:sz w:val="20"/>
                <w:szCs w:val="20"/>
              </w:rPr>
            </w:pPr>
            <w:r w:rsidRPr="00A82AAA">
              <w:rPr>
                <w:sz w:val="20"/>
              </w:rPr>
              <w:t xml:space="preserve">YouTube: </w:t>
            </w:r>
            <w:hyperlink r:id="rId10" w:history="1">
              <w:r>
                <w:rPr>
                  <w:rStyle w:val="Hyperlink"/>
                  <w:rFonts w:cs="Arial"/>
                  <w:sz w:val="20"/>
                  <w:szCs w:val="20"/>
                </w:rPr>
                <w:t>Exothermic and Endothermic Reactions</w:t>
              </w:r>
            </w:hyperlink>
          </w:p>
          <w:p w:rsidR="00EF1576" w:rsidRDefault="00EF1576" w:rsidP="00EF1576">
            <w:pPr>
              <w:spacing w:line="240" w:lineRule="auto"/>
              <w:rPr>
                <w:rFonts w:cs="Arial"/>
                <w:sz w:val="20"/>
                <w:szCs w:val="20"/>
              </w:rPr>
            </w:pPr>
          </w:p>
          <w:p w:rsidR="00EF1576" w:rsidRPr="00A729BC" w:rsidRDefault="005518C4" w:rsidP="00EF1576">
            <w:pPr>
              <w:spacing w:line="240" w:lineRule="auto"/>
              <w:rPr>
                <w:rFonts w:cs="Arial"/>
                <w:sz w:val="20"/>
                <w:szCs w:val="20"/>
              </w:rPr>
            </w:pPr>
            <w:hyperlink r:id="rId11" w:history="1">
              <w:proofErr w:type="spellStart"/>
              <w:r w:rsidR="00A01275" w:rsidRPr="00A01275">
                <w:rPr>
                  <w:rStyle w:val="Hyperlink"/>
                  <w:rFonts w:cs="Arial"/>
                  <w:sz w:val="20"/>
                  <w:szCs w:val="20"/>
                </w:rPr>
                <w:t>Exampro</w:t>
              </w:r>
              <w:proofErr w:type="spellEnd"/>
              <w:r w:rsidR="00A01275" w:rsidRPr="00A01275">
                <w:rPr>
                  <w:rStyle w:val="Hyperlink"/>
                  <w:rFonts w:cs="Arial"/>
                  <w:sz w:val="20"/>
                  <w:szCs w:val="20"/>
                </w:rPr>
                <w:t xml:space="preserve"> user guide PowerPoint</w:t>
              </w:r>
            </w:hyperlink>
          </w:p>
        </w:tc>
      </w:tr>
      <w:tr w:rsidR="009E7926" w:rsidRPr="009A69A5" w:rsidTr="00652E8C">
        <w:tc>
          <w:tcPr>
            <w:tcW w:w="959" w:type="dxa"/>
            <w:tcBorders>
              <w:right w:val="single" w:sz="4" w:space="0" w:color="000000"/>
            </w:tcBorders>
          </w:tcPr>
          <w:p w:rsidR="009E7926" w:rsidRPr="009A69A5" w:rsidRDefault="009E7926" w:rsidP="009E7926">
            <w:pPr>
              <w:spacing w:line="240" w:lineRule="auto"/>
              <w:rPr>
                <w:rFonts w:cs="Arial"/>
                <w:sz w:val="20"/>
                <w:szCs w:val="20"/>
              </w:rPr>
            </w:pPr>
            <w:r>
              <w:rPr>
                <w:rFonts w:cs="Arial"/>
                <w:sz w:val="20"/>
                <w:szCs w:val="20"/>
              </w:rPr>
              <w:lastRenderedPageBreak/>
              <w:t>5.5.1.2</w:t>
            </w:r>
          </w:p>
        </w:tc>
        <w:tc>
          <w:tcPr>
            <w:tcW w:w="2835" w:type="dxa"/>
            <w:tcBorders>
              <w:left w:val="single" w:sz="4" w:space="0" w:color="000000"/>
            </w:tcBorders>
          </w:tcPr>
          <w:p w:rsidR="009E7926" w:rsidRDefault="009E7926" w:rsidP="009E7926">
            <w:pPr>
              <w:spacing w:line="240" w:lineRule="auto"/>
              <w:rPr>
                <w:rFonts w:cs="Arial"/>
                <w:sz w:val="20"/>
                <w:szCs w:val="20"/>
              </w:rPr>
            </w:pPr>
            <w:r w:rsidRPr="00E6417B">
              <w:rPr>
                <w:rFonts w:cs="Arial"/>
                <w:sz w:val="20"/>
                <w:szCs w:val="20"/>
              </w:rPr>
              <w:t xml:space="preserve">Chemical reactions can occur only when reacting particles collide with </w:t>
            </w:r>
            <w:r>
              <w:rPr>
                <w:rFonts w:cs="Arial"/>
                <w:sz w:val="20"/>
                <w:szCs w:val="20"/>
              </w:rPr>
              <w:t xml:space="preserve">each other </w:t>
            </w:r>
            <w:r w:rsidRPr="00E6417B">
              <w:rPr>
                <w:rFonts w:cs="Arial"/>
                <w:sz w:val="20"/>
                <w:szCs w:val="20"/>
              </w:rPr>
              <w:t>with sufficient energy. The minimum amount of energy that particles must have to react is called the activation energy.</w:t>
            </w:r>
          </w:p>
          <w:p w:rsidR="009E7926" w:rsidRPr="00E6417B" w:rsidRDefault="009E7926" w:rsidP="009E7926">
            <w:pPr>
              <w:spacing w:line="240" w:lineRule="auto"/>
              <w:rPr>
                <w:rFonts w:cs="Arial"/>
                <w:sz w:val="20"/>
                <w:szCs w:val="20"/>
              </w:rPr>
            </w:pPr>
          </w:p>
          <w:p w:rsidR="009E7926" w:rsidRPr="00E6417B" w:rsidRDefault="009E7926" w:rsidP="009E7926">
            <w:pPr>
              <w:spacing w:line="240" w:lineRule="auto"/>
              <w:rPr>
                <w:rFonts w:cs="Arial"/>
                <w:sz w:val="20"/>
                <w:szCs w:val="20"/>
              </w:rPr>
            </w:pPr>
            <w:r w:rsidRPr="00E6417B">
              <w:rPr>
                <w:rFonts w:cs="Arial"/>
                <w:sz w:val="20"/>
                <w:szCs w:val="20"/>
              </w:rPr>
              <w:t>Reaction profiles can be used to show the relative energies of reactants and products, the activation energy and the overall energy change of a reaction.</w:t>
            </w:r>
          </w:p>
          <w:p w:rsidR="009E7926" w:rsidRPr="00BD02C2" w:rsidRDefault="009E7926" w:rsidP="009E7926">
            <w:pPr>
              <w:spacing w:line="240" w:lineRule="auto"/>
              <w:rPr>
                <w:rFonts w:cs="Arial"/>
                <w:sz w:val="20"/>
                <w:szCs w:val="20"/>
              </w:rPr>
            </w:pPr>
          </w:p>
        </w:tc>
        <w:tc>
          <w:tcPr>
            <w:tcW w:w="2410" w:type="dxa"/>
          </w:tcPr>
          <w:p w:rsidR="009E7926" w:rsidRDefault="009E7926" w:rsidP="009E7926">
            <w:pPr>
              <w:spacing w:line="240" w:lineRule="auto"/>
              <w:rPr>
                <w:rFonts w:cs="Arial"/>
                <w:iCs/>
                <w:sz w:val="20"/>
                <w:szCs w:val="20"/>
              </w:rPr>
            </w:pPr>
            <w:r>
              <w:rPr>
                <w:rFonts w:cs="Arial"/>
                <w:iCs/>
                <w:sz w:val="20"/>
                <w:szCs w:val="20"/>
              </w:rPr>
              <w:t>D</w:t>
            </w:r>
            <w:r w:rsidRPr="00E6417B">
              <w:rPr>
                <w:rFonts w:cs="Arial"/>
                <w:iCs/>
                <w:sz w:val="20"/>
                <w:szCs w:val="20"/>
              </w:rPr>
              <w:t>raw simple reaction profiles (energy level diagrams) for exothermic and endothermic reactions showing the relative energies of reactants and products, the activation energy and the overall energy change, with a curved arrow to show th</w:t>
            </w:r>
            <w:r>
              <w:rPr>
                <w:rFonts w:cs="Arial"/>
                <w:iCs/>
                <w:sz w:val="20"/>
                <w:szCs w:val="20"/>
              </w:rPr>
              <w:t>e energy as the reaction proceed</w:t>
            </w:r>
            <w:r w:rsidRPr="00E6417B">
              <w:rPr>
                <w:rFonts w:cs="Arial"/>
                <w:iCs/>
                <w:sz w:val="20"/>
                <w:szCs w:val="20"/>
              </w:rPr>
              <w:t>s</w:t>
            </w:r>
            <w:r>
              <w:rPr>
                <w:rFonts w:cs="Arial"/>
                <w:iCs/>
                <w:sz w:val="20"/>
                <w:szCs w:val="20"/>
              </w:rPr>
              <w:t>.</w:t>
            </w:r>
          </w:p>
          <w:p w:rsidR="009E7926" w:rsidRDefault="009E7926" w:rsidP="009E7926">
            <w:pPr>
              <w:spacing w:line="240" w:lineRule="auto"/>
              <w:rPr>
                <w:rFonts w:cs="Arial"/>
                <w:iCs/>
                <w:sz w:val="20"/>
                <w:szCs w:val="20"/>
              </w:rPr>
            </w:pPr>
          </w:p>
          <w:p w:rsidR="009E7926" w:rsidRDefault="009E7926" w:rsidP="009E7926">
            <w:pPr>
              <w:spacing w:line="240" w:lineRule="auto"/>
              <w:rPr>
                <w:rFonts w:cs="Arial"/>
                <w:iCs/>
                <w:sz w:val="20"/>
                <w:szCs w:val="20"/>
              </w:rPr>
            </w:pPr>
            <w:r>
              <w:rPr>
                <w:rFonts w:cs="Arial"/>
                <w:iCs/>
                <w:sz w:val="20"/>
                <w:szCs w:val="20"/>
              </w:rPr>
              <w:t>U</w:t>
            </w:r>
            <w:r w:rsidRPr="00E6417B">
              <w:rPr>
                <w:rFonts w:cs="Arial"/>
                <w:iCs/>
                <w:sz w:val="20"/>
                <w:szCs w:val="20"/>
              </w:rPr>
              <w:t>se reaction profiles to identify reactions as exothermic or endothermic</w:t>
            </w:r>
            <w:r>
              <w:rPr>
                <w:rFonts w:cs="Arial"/>
                <w:iCs/>
                <w:sz w:val="20"/>
                <w:szCs w:val="20"/>
              </w:rPr>
              <w:t>.</w:t>
            </w:r>
          </w:p>
          <w:p w:rsidR="009E7926" w:rsidRDefault="009E7926" w:rsidP="009E7926">
            <w:pPr>
              <w:spacing w:line="240" w:lineRule="auto"/>
              <w:rPr>
                <w:rFonts w:cs="Arial"/>
                <w:iCs/>
                <w:sz w:val="20"/>
                <w:szCs w:val="20"/>
              </w:rPr>
            </w:pPr>
          </w:p>
          <w:p w:rsidR="009E7926" w:rsidRDefault="009E7926" w:rsidP="009E7926">
            <w:pPr>
              <w:spacing w:line="240" w:lineRule="auto"/>
              <w:rPr>
                <w:rFonts w:cs="Arial"/>
                <w:iCs/>
                <w:sz w:val="20"/>
                <w:szCs w:val="20"/>
              </w:rPr>
            </w:pPr>
            <w:r>
              <w:rPr>
                <w:rFonts w:cs="Arial"/>
                <w:iCs/>
                <w:sz w:val="20"/>
                <w:szCs w:val="20"/>
              </w:rPr>
              <w:t>E</w:t>
            </w:r>
            <w:r w:rsidRPr="00E6417B">
              <w:rPr>
                <w:rFonts w:cs="Arial"/>
                <w:iCs/>
                <w:sz w:val="20"/>
                <w:szCs w:val="20"/>
              </w:rPr>
              <w:t>xplain that the activation energy is the energy needed for a reaction to occur.</w:t>
            </w:r>
          </w:p>
          <w:p w:rsidR="009E7926" w:rsidRPr="00E6417B" w:rsidRDefault="009E7926" w:rsidP="009E7926">
            <w:pPr>
              <w:spacing w:line="240" w:lineRule="auto"/>
              <w:ind w:left="204"/>
              <w:rPr>
                <w:rFonts w:cs="Arial"/>
                <w:iCs/>
                <w:sz w:val="20"/>
                <w:szCs w:val="20"/>
              </w:rPr>
            </w:pPr>
          </w:p>
          <w:p w:rsidR="009E7926" w:rsidRPr="00A82AAA" w:rsidRDefault="009E7926" w:rsidP="009E7926">
            <w:pPr>
              <w:spacing w:line="240" w:lineRule="auto"/>
              <w:rPr>
                <w:rFonts w:cs="Arial"/>
                <w:iCs/>
                <w:sz w:val="20"/>
                <w:szCs w:val="20"/>
              </w:rPr>
            </w:pPr>
            <w:r w:rsidRPr="00E6417B">
              <w:rPr>
                <w:rFonts w:cs="Arial"/>
                <w:iCs/>
                <w:sz w:val="20"/>
                <w:szCs w:val="20"/>
              </w:rPr>
              <w:t>WS 4.1</w:t>
            </w:r>
          </w:p>
        </w:tc>
        <w:tc>
          <w:tcPr>
            <w:tcW w:w="1134" w:type="dxa"/>
          </w:tcPr>
          <w:p w:rsidR="009E7926" w:rsidRPr="00EE6156" w:rsidRDefault="009E7926" w:rsidP="009E7926">
            <w:pPr>
              <w:spacing w:line="240" w:lineRule="auto"/>
              <w:jc w:val="center"/>
              <w:rPr>
                <w:rFonts w:cs="Arial"/>
                <w:sz w:val="20"/>
                <w:szCs w:val="20"/>
              </w:rPr>
            </w:pPr>
            <w:r>
              <w:rPr>
                <w:rFonts w:cs="Arial"/>
                <w:sz w:val="20"/>
                <w:szCs w:val="20"/>
              </w:rPr>
              <w:t>1</w:t>
            </w:r>
          </w:p>
        </w:tc>
        <w:tc>
          <w:tcPr>
            <w:tcW w:w="2693" w:type="dxa"/>
          </w:tcPr>
          <w:p w:rsidR="009E7926" w:rsidRPr="00E01352" w:rsidRDefault="009E7926" w:rsidP="009E7926">
            <w:pPr>
              <w:spacing w:line="240" w:lineRule="auto"/>
              <w:rPr>
                <w:rFonts w:cs="Arial"/>
                <w:sz w:val="20"/>
                <w:szCs w:val="20"/>
              </w:rPr>
            </w:pPr>
            <w:r w:rsidRPr="00E01352">
              <w:rPr>
                <w:rFonts w:cs="Arial"/>
                <w:sz w:val="20"/>
                <w:szCs w:val="20"/>
              </w:rPr>
              <w:t>Define the term activation energy.</w:t>
            </w:r>
          </w:p>
          <w:p w:rsidR="009E7926" w:rsidRPr="00E01352" w:rsidRDefault="009E7926" w:rsidP="009E7926">
            <w:pPr>
              <w:spacing w:line="240" w:lineRule="auto"/>
              <w:rPr>
                <w:rFonts w:cs="Arial"/>
                <w:sz w:val="20"/>
                <w:szCs w:val="20"/>
              </w:rPr>
            </w:pPr>
          </w:p>
          <w:p w:rsidR="009E7926" w:rsidRPr="00EE6156" w:rsidRDefault="009E7926" w:rsidP="009E7926">
            <w:pPr>
              <w:spacing w:line="240" w:lineRule="auto"/>
              <w:rPr>
                <w:rFonts w:cs="Arial"/>
                <w:b/>
                <w:sz w:val="20"/>
                <w:szCs w:val="20"/>
              </w:rPr>
            </w:pPr>
            <w:r w:rsidRPr="00E01352">
              <w:rPr>
                <w:rFonts w:cs="Arial"/>
                <w:sz w:val="20"/>
                <w:szCs w:val="20"/>
              </w:rPr>
              <w:t>Draw reaction profiles for exothermic and</w:t>
            </w:r>
            <w:r>
              <w:rPr>
                <w:rFonts w:cs="Arial"/>
                <w:sz w:val="20"/>
                <w:szCs w:val="20"/>
              </w:rPr>
              <w:t xml:space="preserve"> endothermic. </w:t>
            </w:r>
            <w:r w:rsidRPr="00E01352">
              <w:rPr>
                <w:rFonts w:cs="Arial"/>
                <w:sz w:val="20"/>
                <w:szCs w:val="20"/>
              </w:rPr>
              <w:t>Explain what the diagrams display.</w:t>
            </w:r>
          </w:p>
        </w:tc>
        <w:tc>
          <w:tcPr>
            <w:tcW w:w="2761" w:type="dxa"/>
          </w:tcPr>
          <w:p w:rsidR="009E7926" w:rsidRPr="00EE6156" w:rsidRDefault="009E7926" w:rsidP="009E7926">
            <w:pPr>
              <w:spacing w:line="240" w:lineRule="auto"/>
              <w:rPr>
                <w:rFonts w:cs="Arial"/>
                <w:sz w:val="20"/>
                <w:szCs w:val="20"/>
              </w:rPr>
            </w:pPr>
            <w:r w:rsidRPr="00CE6047">
              <w:rPr>
                <w:rFonts w:cs="Arial"/>
                <w:sz w:val="20"/>
                <w:szCs w:val="20"/>
              </w:rPr>
              <w:t xml:space="preserve">Demo, and where appropriate practically investigate, </w:t>
            </w:r>
            <w:r>
              <w:rPr>
                <w:rFonts w:cs="Arial"/>
                <w:sz w:val="20"/>
                <w:szCs w:val="20"/>
              </w:rPr>
              <w:t xml:space="preserve">exothermic and endothermic reactions, such as thermal decomposition of marble or copper </w:t>
            </w:r>
            <w:proofErr w:type="spellStart"/>
            <w:r>
              <w:rPr>
                <w:rFonts w:cs="Arial"/>
                <w:sz w:val="20"/>
                <w:szCs w:val="20"/>
              </w:rPr>
              <w:t>sulfate</w:t>
            </w:r>
            <w:proofErr w:type="spellEnd"/>
            <w:r>
              <w:rPr>
                <w:rFonts w:cs="Arial"/>
                <w:sz w:val="20"/>
                <w:szCs w:val="20"/>
              </w:rPr>
              <w:t>, barium hydroxide + ammonium chloride, thermite reaction etc.</w:t>
            </w:r>
          </w:p>
        </w:tc>
        <w:tc>
          <w:tcPr>
            <w:tcW w:w="1906" w:type="dxa"/>
          </w:tcPr>
          <w:p w:rsidR="009E7926" w:rsidRPr="00EE6156" w:rsidRDefault="009E7926" w:rsidP="009E7926">
            <w:pPr>
              <w:spacing w:line="240" w:lineRule="auto"/>
              <w:rPr>
                <w:rFonts w:cs="Arial"/>
                <w:sz w:val="20"/>
                <w:szCs w:val="20"/>
              </w:rPr>
            </w:pPr>
          </w:p>
        </w:tc>
      </w:tr>
      <w:tr w:rsidR="007C7A78" w:rsidRPr="009A69A5" w:rsidTr="009907CF">
        <w:tc>
          <w:tcPr>
            <w:tcW w:w="959" w:type="dxa"/>
            <w:tcBorders>
              <w:right w:val="single" w:sz="4" w:space="0" w:color="000000"/>
            </w:tcBorders>
          </w:tcPr>
          <w:p w:rsidR="007C7A78" w:rsidRDefault="007C7A78" w:rsidP="007C7A78">
            <w:pPr>
              <w:spacing w:line="240" w:lineRule="auto"/>
              <w:rPr>
                <w:rFonts w:cs="Arial"/>
                <w:sz w:val="20"/>
                <w:szCs w:val="20"/>
              </w:rPr>
            </w:pPr>
            <w:r>
              <w:rPr>
                <w:rFonts w:cs="Arial"/>
                <w:sz w:val="20"/>
                <w:szCs w:val="20"/>
              </w:rPr>
              <w:t>5.5.1.3</w:t>
            </w:r>
          </w:p>
          <w:p w:rsidR="007C7A78" w:rsidRPr="005470E7" w:rsidRDefault="007C7A78" w:rsidP="007C7A78">
            <w:pPr>
              <w:pStyle w:val="BoldBodyText"/>
              <w:rPr>
                <w:b w:val="0"/>
              </w:rPr>
            </w:pPr>
            <w:r w:rsidRPr="005470E7">
              <w:rPr>
                <w:b w:val="0"/>
                <w:sz w:val="20"/>
              </w:rPr>
              <w:t>(HT only)</w:t>
            </w:r>
          </w:p>
        </w:tc>
        <w:tc>
          <w:tcPr>
            <w:tcW w:w="2835" w:type="dxa"/>
            <w:tcBorders>
              <w:left w:val="single" w:sz="4" w:space="0" w:color="000000"/>
            </w:tcBorders>
          </w:tcPr>
          <w:p w:rsidR="007C7A78" w:rsidRDefault="007C7A78" w:rsidP="007C7A78">
            <w:pPr>
              <w:spacing w:line="240" w:lineRule="auto"/>
              <w:rPr>
                <w:rFonts w:cs="Arial"/>
                <w:sz w:val="20"/>
                <w:szCs w:val="20"/>
              </w:rPr>
            </w:pPr>
            <w:r w:rsidRPr="00E01352">
              <w:rPr>
                <w:rFonts w:cs="Arial"/>
                <w:sz w:val="20"/>
                <w:szCs w:val="20"/>
              </w:rPr>
              <w:t>During a chemical reaction:</w:t>
            </w:r>
          </w:p>
          <w:p w:rsidR="007C7A78" w:rsidRPr="00E01352" w:rsidRDefault="007C7A78" w:rsidP="007C7A78">
            <w:pPr>
              <w:spacing w:line="240" w:lineRule="auto"/>
              <w:rPr>
                <w:rFonts w:cs="Arial"/>
                <w:sz w:val="20"/>
                <w:szCs w:val="20"/>
              </w:rPr>
            </w:pPr>
          </w:p>
          <w:p w:rsidR="007C7A78" w:rsidRPr="00E01352" w:rsidRDefault="007C7A78" w:rsidP="007C7A78">
            <w:pPr>
              <w:numPr>
                <w:ilvl w:val="0"/>
                <w:numId w:val="34"/>
              </w:numPr>
              <w:spacing w:line="240" w:lineRule="auto"/>
              <w:ind w:left="204" w:hanging="142"/>
              <w:rPr>
                <w:rFonts w:cs="Arial"/>
                <w:sz w:val="20"/>
                <w:szCs w:val="20"/>
              </w:rPr>
            </w:pPr>
            <w:r w:rsidRPr="00E01352">
              <w:rPr>
                <w:rFonts w:cs="Arial"/>
                <w:sz w:val="20"/>
                <w:szCs w:val="20"/>
              </w:rPr>
              <w:t>energy must be supplied to break bonds in the reactants</w:t>
            </w:r>
          </w:p>
          <w:p w:rsidR="007C7A78" w:rsidRDefault="007C7A78" w:rsidP="007C7A78">
            <w:pPr>
              <w:numPr>
                <w:ilvl w:val="0"/>
                <w:numId w:val="34"/>
              </w:numPr>
              <w:spacing w:line="240" w:lineRule="auto"/>
              <w:ind w:left="204" w:hanging="142"/>
              <w:rPr>
                <w:rFonts w:cs="Arial"/>
                <w:sz w:val="20"/>
                <w:szCs w:val="20"/>
              </w:rPr>
            </w:pPr>
            <w:proofErr w:type="gramStart"/>
            <w:r w:rsidRPr="00E01352">
              <w:rPr>
                <w:rFonts w:cs="Arial"/>
                <w:sz w:val="20"/>
                <w:szCs w:val="20"/>
              </w:rPr>
              <w:t>energy</w:t>
            </w:r>
            <w:proofErr w:type="gramEnd"/>
            <w:r w:rsidRPr="00E01352">
              <w:rPr>
                <w:rFonts w:cs="Arial"/>
                <w:sz w:val="20"/>
                <w:szCs w:val="20"/>
              </w:rPr>
              <w:t xml:space="preserve"> is released when bonds in the products are formed.</w:t>
            </w:r>
          </w:p>
          <w:p w:rsidR="007C7A78" w:rsidRPr="00E01352" w:rsidRDefault="007C7A78" w:rsidP="007C7A78">
            <w:pPr>
              <w:spacing w:line="240" w:lineRule="auto"/>
              <w:ind w:left="204"/>
              <w:rPr>
                <w:rFonts w:cs="Arial"/>
                <w:sz w:val="20"/>
                <w:szCs w:val="20"/>
              </w:rPr>
            </w:pPr>
          </w:p>
          <w:p w:rsidR="007C7A78" w:rsidRDefault="007C7A78" w:rsidP="007C7A78">
            <w:pPr>
              <w:spacing w:line="240" w:lineRule="auto"/>
              <w:rPr>
                <w:rFonts w:cs="Arial"/>
                <w:sz w:val="20"/>
                <w:szCs w:val="20"/>
              </w:rPr>
            </w:pPr>
            <w:r w:rsidRPr="00E01352">
              <w:rPr>
                <w:rFonts w:cs="Arial"/>
                <w:sz w:val="20"/>
                <w:szCs w:val="20"/>
              </w:rPr>
              <w:t>The energy needed to break bonds and the energy released when bonds are formed can be calculated from bond energies.</w:t>
            </w:r>
          </w:p>
          <w:p w:rsidR="007C7A78" w:rsidRPr="00E01352" w:rsidRDefault="007C7A78" w:rsidP="007C7A78">
            <w:pPr>
              <w:spacing w:line="240" w:lineRule="auto"/>
              <w:rPr>
                <w:rFonts w:cs="Arial"/>
                <w:sz w:val="20"/>
                <w:szCs w:val="20"/>
              </w:rPr>
            </w:pPr>
          </w:p>
          <w:p w:rsidR="007C7A78" w:rsidRDefault="007C7A78" w:rsidP="007C7A78">
            <w:pPr>
              <w:spacing w:line="240" w:lineRule="auto"/>
              <w:rPr>
                <w:rFonts w:cs="Arial"/>
                <w:sz w:val="20"/>
                <w:szCs w:val="20"/>
              </w:rPr>
            </w:pPr>
            <w:r w:rsidRPr="00E01352">
              <w:rPr>
                <w:rFonts w:cs="Arial"/>
                <w:sz w:val="20"/>
                <w:szCs w:val="20"/>
              </w:rPr>
              <w:t>The difference between the sum of the energy needed to break bonds in the reactants and the sum of the energy released when bonds in the products are formed is the overall energy change of the reaction.</w:t>
            </w:r>
          </w:p>
          <w:p w:rsidR="007C7A78" w:rsidRPr="00E01352" w:rsidRDefault="007C7A78" w:rsidP="007C7A78">
            <w:pPr>
              <w:spacing w:line="240" w:lineRule="auto"/>
              <w:rPr>
                <w:rFonts w:cs="Arial"/>
                <w:sz w:val="20"/>
                <w:szCs w:val="20"/>
              </w:rPr>
            </w:pPr>
          </w:p>
          <w:p w:rsidR="007C7A78" w:rsidRDefault="007C7A78" w:rsidP="007C7A78">
            <w:pPr>
              <w:spacing w:line="240" w:lineRule="auto"/>
              <w:rPr>
                <w:rFonts w:cs="Arial"/>
                <w:sz w:val="20"/>
                <w:szCs w:val="20"/>
              </w:rPr>
            </w:pPr>
            <w:r w:rsidRPr="00E01352">
              <w:rPr>
                <w:rFonts w:cs="Arial"/>
                <w:sz w:val="20"/>
                <w:szCs w:val="20"/>
              </w:rPr>
              <w:t>In an exothermic reaction, the energy released from forming new bonds is greater than the energy needed to break existing bonds.</w:t>
            </w:r>
          </w:p>
          <w:p w:rsidR="007C7A78" w:rsidRPr="00EE6156" w:rsidRDefault="007C7A78" w:rsidP="007C7A78">
            <w:pPr>
              <w:spacing w:line="240" w:lineRule="auto"/>
              <w:rPr>
                <w:rFonts w:cs="Arial"/>
                <w:sz w:val="20"/>
                <w:szCs w:val="20"/>
              </w:rPr>
            </w:pPr>
            <w:r w:rsidRPr="00E01352">
              <w:rPr>
                <w:rFonts w:cs="Arial"/>
                <w:sz w:val="20"/>
                <w:szCs w:val="20"/>
              </w:rPr>
              <w:t>In an endothermic reaction, the energy needed to break existing bonds is greater than the energy released from forming new bonds.</w:t>
            </w:r>
          </w:p>
        </w:tc>
        <w:tc>
          <w:tcPr>
            <w:tcW w:w="2410" w:type="dxa"/>
          </w:tcPr>
          <w:p w:rsidR="007C7A78" w:rsidRDefault="009059D6" w:rsidP="007C7A78">
            <w:pPr>
              <w:spacing w:line="240" w:lineRule="auto"/>
              <w:rPr>
                <w:rFonts w:cs="Arial"/>
                <w:iCs/>
                <w:sz w:val="20"/>
                <w:szCs w:val="20"/>
              </w:rPr>
            </w:pPr>
            <w:r>
              <w:rPr>
                <w:rFonts w:cs="Arial"/>
                <w:iCs/>
                <w:sz w:val="20"/>
                <w:szCs w:val="20"/>
              </w:rPr>
              <w:t>B</w:t>
            </w:r>
            <w:r w:rsidR="007C7A78" w:rsidRPr="00E6417B">
              <w:rPr>
                <w:rFonts w:cs="Arial"/>
                <w:iCs/>
                <w:sz w:val="20"/>
                <w:szCs w:val="20"/>
              </w:rPr>
              <w:t>e able to calculate the energy transferred in chemical reactions using bond energies supplied.</w:t>
            </w:r>
          </w:p>
          <w:p w:rsidR="007C7A78" w:rsidRDefault="007C7A78" w:rsidP="007C7A78">
            <w:pPr>
              <w:spacing w:line="240" w:lineRule="auto"/>
              <w:rPr>
                <w:rFonts w:cs="Arial"/>
                <w:iCs/>
                <w:sz w:val="20"/>
                <w:szCs w:val="20"/>
              </w:rPr>
            </w:pPr>
          </w:p>
          <w:p w:rsidR="007C7A78" w:rsidRPr="00EE6156" w:rsidRDefault="007C7A78" w:rsidP="007C7A78">
            <w:pPr>
              <w:spacing w:line="240" w:lineRule="auto"/>
              <w:rPr>
                <w:rFonts w:cs="Arial"/>
                <w:sz w:val="20"/>
                <w:szCs w:val="20"/>
              </w:rPr>
            </w:pPr>
            <w:r>
              <w:rPr>
                <w:rFonts w:cs="Arial"/>
                <w:iCs/>
                <w:sz w:val="20"/>
                <w:szCs w:val="20"/>
              </w:rPr>
              <w:t>MS1a</w:t>
            </w:r>
          </w:p>
        </w:tc>
        <w:tc>
          <w:tcPr>
            <w:tcW w:w="1134" w:type="dxa"/>
          </w:tcPr>
          <w:p w:rsidR="007C7A78" w:rsidRPr="00EE6156" w:rsidRDefault="007C7A78" w:rsidP="007C7A78">
            <w:pPr>
              <w:spacing w:line="240" w:lineRule="auto"/>
              <w:jc w:val="center"/>
              <w:rPr>
                <w:rFonts w:cs="Arial"/>
                <w:sz w:val="20"/>
                <w:szCs w:val="20"/>
              </w:rPr>
            </w:pPr>
            <w:r>
              <w:rPr>
                <w:rFonts w:cs="Arial"/>
                <w:sz w:val="20"/>
                <w:szCs w:val="20"/>
              </w:rPr>
              <w:t>2</w:t>
            </w:r>
          </w:p>
        </w:tc>
        <w:tc>
          <w:tcPr>
            <w:tcW w:w="2693" w:type="dxa"/>
          </w:tcPr>
          <w:p w:rsidR="007C7A78" w:rsidRPr="00E01352" w:rsidRDefault="007C7A78" w:rsidP="007C7A78">
            <w:pPr>
              <w:spacing w:line="240" w:lineRule="auto"/>
              <w:rPr>
                <w:rFonts w:cs="Arial"/>
                <w:sz w:val="20"/>
                <w:szCs w:val="20"/>
              </w:rPr>
            </w:pPr>
            <w:r w:rsidRPr="00E01352">
              <w:rPr>
                <w:rFonts w:cs="Arial"/>
                <w:sz w:val="20"/>
                <w:szCs w:val="20"/>
              </w:rPr>
              <w:t>Calculate the energy tran</w:t>
            </w:r>
            <w:r>
              <w:rPr>
                <w:rFonts w:cs="Arial"/>
                <w:sz w:val="20"/>
                <w:szCs w:val="20"/>
              </w:rPr>
              <w:t>sferred in chemical reactions.</w:t>
            </w:r>
          </w:p>
          <w:p w:rsidR="007C7A78" w:rsidRDefault="007C7A78" w:rsidP="007C7A78">
            <w:pPr>
              <w:spacing w:line="240" w:lineRule="auto"/>
              <w:rPr>
                <w:rFonts w:cs="Arial"/>
                <w:sz w:val="20"/>
                <w:szCs w:val="20"/>
              </w:rPr>
            </w:pPr>
          </w:p>
          <w:p w:rsidR="007C7A78" w:rsidRPr="00E01352" w:rsidRDefault="007C7A78" w:rsidP="007C7A78">
            <w:pPr>
              <w:spacing w:line="240" w:lineRule="auto"/>
              <w:rPr>
                <w:rFonts w:cs="Arial"/>
                <w:sz w:val="20"/>
                <w:szCs w:val="20"/>
              </w:rPr>
            </w:pPr>
            <w:r w:rsidRPr="00095E33">
              <w:rPr>
                <w:rFonts w:cs="Arial"/>
                <w:sz w:val="20"/>
                <w:szCs w:val="20"/>
              </w:rPr>
              <w:t>Extended writing</w:t>
            </w:r>
            <w:r>
              <w:rPr>
                <w:rFonts w:cs="Arial"/>
                <w:sz w:val="20"/>
                <w:szCs w:val="20"/>
              </w:rPr>
              <w:t>:</w:t>
            </w:r>
            <w:r w:rsidRPr="00E01352">
              <w:rPr>
                <w:rFonts w:cs="Arial"/>
                <w:b/>
                <w:sz w:val="20"/>
                <w:szCs w:val="20"/>
              </w:rPr>
              <w:t xml:space="preserve"> </w:t>
            </w:r>
            <w:r w:rsidRPr="00E01352">
              <w:rPr>
                <w:rFonts w:cs="Arial"/>
                <w:sz w:val="20"/>
                <w:szCs w:val="20"/>
              </w:rPr>
              <w:t xml:space="preserve">write instructions to another student how to </w:t>
            </w:r>
            <w:r>
              <w:rPr>
                <w:rFonts w:cs="Arial"/>
                <w:sz w:val="20"/>
                <w:szCs w:val="20"/>
              </w:rPr>
              <w:t xml:space="preserve">calculate </w:t>
            </w:r>
            <w:r w:rsidRPr="00E01352">
              <w:rPr>
                <w:rFonts w:cs="Arial"/>
                <w:sz w:val="20"/>
                <w:szCs w:val="20"/>
              </w:rPr>
              <w:t>the energy transferred in a chemical reaction.</w:t>
            </w:r>
          </w:p>
          <w:p w:rsidR="007C7A78" w:rsidRPr="00E01352" w:rsidRDefault="007C7A78" w:rsidP="007C7A78">
            <w:pPr>
              <w:spacing w:line="240" w:lineRule="auto"/>
              <w:rPr>
                <w:rFonts w:cs="Arial"/>
                <w:sz w:val="20"/>
                <w:szCs w:val="20"/>
              </w:rPr>
            </w:pPr>
          </w:p>
          <w:p w:rsidR="007C7A78" w:rsidRPr="004E30C0" w:rsidRDefault="007C7A78" w:rsidP="007C7A78">
            <w:pPr>
              <w:spacing w:line="240" w:lineRule="auto"/>
              <w:rPr>
                <w:rFonts w:cs="Arial"/>
                <w:sz w:val="20"/>
                <w:szCs w:val="20"/>
              </w:rPr>
            </w:pPr>
            <w:r w:rsidRPr="00E01352">
              <w:rPr>
                <w:rFonts w:cs="Arial"/>
                <w:sz w:val="20"/>
                <w:szCs w:val="20"/>
              </w:rPr>
              <w:t>Explain why a chemical reaction is classed as being exothermic or endothermic in relation to the energy involved in breaking and making bonds.</w:t>
            </w:r>
          </w:p>
        </w:tc>
        <w:tc>
          <w:tcPr>
            <w:tcW w:w="2761" w:type="dxa"/>
          </w:tcPr>
          <w:p w:rsidR="007C7A78" w:rsidRPr="00EE6156" w:rsidRDefault="007C7A78" w:rsidP="007C7A78">
            <w:pPr>
              <w:spacing w:line="240" w:lineRule="auto"/>
              <w:rPr>
                <w:rFonts w:cs="Arial"/>
                <w:sz w:val="20"/>
                <w:szCs w:val="20"/>
              </w:rPr>
            </w:pPr>
            <w:r w:rsidRPr="00095E33">
              <w:rPr>
                <w:rFonts w:cs="Arial"/>
                <w:sz w:val="20"/>
                <w:szCs w:val="20"/>
              </w:rPr>
              <w:t>Research common bond energies and use these in calculation for simple reactions.</w:t>
            </w:r>
          </w:p>
        </w:tc>
        <w:tc>
          <w:tcPr>
            <w:tcW w:w="1906" w:type="dxa"/>
          </w:tcPr>
          <w:p w:rsidR="007C7A78" w:rsidRDefault="007C7A78" w:rsidP="007C7A78">
            <w:pPr>
              <w:spacing w:line="240" w:lineRule="auto"/>
              <w:rPr>
                <w:rFonts w:cs="Arial"/>
                <w:sz w:val="20"/>
                <w:szCs w:val="20"/>
              </w:rPr>
            </w:pPr>
            <w:r>
              <w:rPr>
                <w:rFonts w:cs="Arial"/>
                <w:sz w:val="20"/>
                <w:szCs w:val="20"/>
              </w:rPr>
              <w:t>Video clip</w:t>
            </w:r>
          </w:p>
          <w:p w:rsidR="007C7A78" w:rsidRDefault="007C7A78" w:rsidP="007C7A78">
            <w:pPr>
              <w:spacing w:line="240" w:lineRule="auto"/>
              <w:rPr>
                <w:rFonts w:cs="Arial"/>
                <w:sz w:val="20"/>
                <w:szCs w:val="20"/>
              </w:rPr>
            </w:pPr>
            <w:r w:rsidRPr="00A82AAA">
              <w:rPr>
                <w:sz w:val="20"/>
              </w:rPr>
              <w:t xml:space="preserve">YouTube: </w:t>
            </w:r>
            <w:hyperlink r:id="rId12" w:history="1">
              <w:r>
                <w:rPr>
                  <w:rStyle w:val="Hyperlink"/>
                  <w:rFonts w:cs="Arial"/>
                  <w:sz w:val="20"/>
                  <w:szCs w:val="20"/>
                </w:rPr>
                <w:t>Introduction to bond energies</w:t>
              </w:r>
            </w:hyperlink>
          </w:p>
          <w:p w:rsidR="007C7A78" w:rsidRDefault="007C7A78" w:rsidP="007C7A78">
            <w:pPr>
              <w:spacing w:line="240" w:lineRule="auto"/>
              <w:rPr>
                <w:rFonts w:cs="Arial"/>
                <w:sz w:val="20"/>
                <w:szCs w:val="20"/>
              </w:rPr>
            </w:pPr>
          </w:p>
          <w:p w:rsidR="007C7A78" w:rsidRPr="00EE6156" w:rsidRDefault="007C7A78" w:rsidP="007C7A78">
            <w:pPr>
              <w:spacing w:line="240" w:lineRule="auto"/>
              <w:rPr>
                <w:rFonts w:cs="Arial"/>
                <w:sz w:val="20"/>
                <w:szCs w:val="20"/>
              </w:rPr>
            </w:pPr>
          </w:p>
        </w:tc>
      </w:tr>
    </w:tbl>
    <w:p w:rsidR="00095E33" w:rsidRDefault="00095E33"/>
    <w:sectPr w:rsidR="00095E33" w:rsidSect="00181B94">
      <w:headerReference w:type="default" r:id="rId13"/>
      <w:footerReference w:type="default" r:id="rId14"/>
      <w:headerReference w:type="first" r:id="rId15"/>
      <w:footerReference w:type="first" r:id="rId16"/>
      <w:type w:val="continuous"/>
      <w:pgSz w:w="16838" w:h="11906" w:orient="landscape" w:code="9"/>
      <w:pgMar w:top="810" w:right="1134" w:bottom="1134" w:left="1134" w:header="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C7" w:rsidRDefault="00CA37C7">
      <w:r>
        <w:separator/>
      </w:r>
    </w:p>
  </w:endnote>
  <w:endnote w:type="continuationSeparator" w:id="0">
    <w:p w:rsidR="00CA37C7" w:rsidRDefault="00CA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embedBold r:id="rId1" w:subsetted="1" w:fontKey="{5B675CAB-B569-424F-862F-B10555D1EC76}"/>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2" w:fontKey="{077F0D18-C57F-4680-921C-DE9ED0C9135C}"/>
    <w:embedBold r:id="rId3" w:fontKey="{F8294AB5-F3C1-465D-8B3F-5B0AAB200679}"/>
    <w:embedItalic r:id="rId4" w:fontKey="{6C7D33C2-3034-45EC-86C6-2AABFF685405}"/>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F81ECB" w:rsidRPr="00E75554" w:rsidTr="00F9337E">
      <w:trPr>
        <w:trHeight w:hRule="exact" w:val="397"/>
      </w:trPr>
      <w:tc>
        <w:tcPr>
          <w:tcW w:w="7767" w:type="dxa"/>
        </w:tcPr>
        <w:p w:rsidR="00F81ECB" w:rsidRPr="00E75554" w:rsidRDefault="005518C4"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636019979"/>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F81ECB">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rsidR="00F81ECB" w:rsidRPr="00E75554" w:rsidRDefault="00F81ECB"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5518C4">
            <w:rPr>
              <w:rFonts w:ascii="AQA Chevin Pro Light" w:hAnsi="AQA Chevin Pro Light"/>
              <w:noProof/>
              <w:color w:val="000000"/>
              <w:sz w:val="16"/>
              <w:szCs w:val="16"/>
            </w:rPr>
            <w:t>5</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5518C4">
            <w:rPr>
              <w:rFonts w:ascii="AQA Chevin Pro Light" w:hAnsi="AQA Chevin Pro Light"/>
              <w:noProof/>
              <w:color w:val="000000"/>
              <w:sz w:val="16"/>
              <w:szCs w:val="16"/>
            </w:rPr>
            <w:t>5</w:t>
          </w:r>
          <w:r>
            <w:rPr>
              <w:rFonts w:ascii="AQA Chevin Pro Light" w:hAnsi="AQA Chevin Pro Light"/>
              <w:noProof/>
              <w:color w:val="000000"/>
              <w:sz w:val="16"/>
              <w:szCs w:val="16"/>
            </w:rPr>
            <w:fldChar w:fldCharType="end"/>
          </w:r>
        </w:p>
      </w:tc>
    </w:tr>
  </w:tbl>
  <w:p w:rsidR="00F81ECB" w:rsidRPr="00E75554" w:rsidRDefault="00F81ECB"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68480" behindDoc="0" locked="0" layoutInCell="1" allowOverlap="1" wp14:anchorId="6B5560E6" wp14:editId="4573580F">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BA59D1" id="Straight Connector 9"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F81ECB" w:rsidRPr="007B4738" w:rsidTr="00F9337E">
      <w:trPr>
        <w:trHeight w:hRule="exact" w:val="397"/>
      </w:trPr>
      <w:tc>
        <w:tcPr>
          <w:tcW w:w="7768" w:type="dxa"/>
        </w:tcPr>
        <w:p w:rsidR="00F81ECB" w:rsidRPr="002425FC" w:rsidRDefault="005518C4"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898232958"/>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F81ECB">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rsidR="00F81ECB" w:rsidRPr="002425FC" w:rsidRDefault="00F81ECB"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rsidR="00F81ECB" w:rsidRPr="002425FC" w:rsidRDefault="00F81ECB"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7216" behindDoc="0" locked="0" layoutInCell="1" allowOverlap="1" wp14:anchorId="6DACA59A" wp14:editId="1359F604">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4211AB"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C7" w:rsidRDefault="00CA37C7">
      <w:r>
        <w:separator/>
      </w:r>
    </w:p>
  </w:footnote>
  <w:footnote w:type="continuationSeparator" w:id="0">
    <w:p w:rsidR="00CA37C7" w:rsidRDefault="00CA3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CB" w:rsidRDefault="00F81ECB" w:rsidP="005B0BAA">
    <w:pPr>
      <w:pStyle w:val="HeaderAQA"/>
    </w:pPr>
  </w:p>
  <w:p w:rsidR="00F81ECB" w:rsidRDefault="00F81ECB" w:rsidP="00906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CB" w:rsidRDefault="00F81ECB" w:rsidP="000D10F8">
    <w:pPr>
      <w:pStyle w:val="HeaderAQA"/>
    </w:pPr>
    <w:r>
      <w:rPr>
        <w:noProof/>
      </w:rPr>
      <w:drawing>
        <wp:anchor distT="0" distB="0" distL="114300" distR="114300" simplePos="0" relativeHeight="251679744" behindDoc="0" locked="0" layoutInCell="1" allowOverlap="1" wp14:anchorId="7505FEB4" wp14:editId="020935A2">
          <wp:simplePos x="0" y="0"/>
          <wp:positionH relativeFrom="page">
            <wp:posOffset>720090</wp:posOffset>
          </wp:positionH>
          <wp:positionV relativeFrom="page">
            <wp:posOffset>360045</wp:posOffset>
          </wp:positionV>
          <wp:extent cx="1620000" cy="720000"/>
          <wp:effectExtent l="0" t="0" r="0" b="4445"/>
          <wp:wrapNone/>
          <wp:docPr id="9" name="Picture 9"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rsidR="00F81ECB" w:rsidRDefault="00F81ECB" w:rsidP="00906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3613C64"/>
    <w:multiLevelType w:val="hybridMultilevel"/>
    <w:tmpl w:val="0C72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953160"/>
    <w:multiLevelType w:val="hybridMultilevel"/>
    <w:tmpl w:val="ECEC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C73AB"/>
    <w:multiLevelType w:val="hybridMultilevel"/>
    <w:tmpl w:val="6E32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F36CC"/>
    <w:multiLevelType w:val="hybridMultilevel"/>
    <w:tmpl w:val="C61A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76FC6"/>
    <w:multiLevelType w:val="hybridMultilevel"/>
    <w:tmpl w:val="AB6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33750"/>
    <w:multiLevelType w:val="hybridMultilevel"/>
    <w:tmpl w:val="7F9E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574DCB"/>
    <w:multiLevelType w:val="hybridMultilevel"/>
    <w:tmpl w:val="6B86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15635"/>
    <w:multiLevelType w:val="hybridMultilevel"/>
    <w:tmpl w:val="F8C4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BA373E"/>
    <w:multiLevelType w:val="hybridMultilevel"/>
    <w:tmpl w:val="FEB0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2E0DAD"/>
    <w:multiLevelType w:val="hybridMultilevel"/>
    <w:tmpl w:val="CBEE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3275D3"/>
    <w:multiLevelType w:val="hybridMultilevel"/>
    <w:tmpl w:val="F440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195B22"/>
    <w:multiLevelType w:val="hybridMultilevel"/>
    <w:tmpl w:val="6686A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DC6850"/>
    <w:multiLevelType w:val="hybridMultilevel"/>
    <w:tmpl w:val="13FCF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0627D4"/>
    <w:multiLevelType w:val="hybridMultilevel"/>
    <w:tmpl w:val="32846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C734402"/>
    <w:multiLevelType w:val="multilevel"/>
    <w:tmpl w:val="B582B822"/>
    <w:numStyleLink w:val="NumbLstBullet"/>
  </w:abstractNum>
  <w:abstractNum w:abstractNumId="16">
    <w:nsid w:val="3CFD0779"/>
    <w:multiLevelType w:val="hybridMultilevel"/>
    <w:tmpl w:val="9D3A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1768EF"/>
    <w:multiLevelType w:val="hybridMultilevel"/>
    <w:tmpl w:val="D2A4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F624397"/>
    <w:multiLevelType w:val="hybridMultilevel"/>
    <w:tmpl w:val="7BA4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513DFA"/>
    <w:multiLevelType w:val="hybridMultilevel"/>
    <w:tmpl w:val="D8585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F7768F"/>
    <w:multiLevelType w:val="hybridMultilevel"/>
    <w:tmpl w:val="2830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0045ED"/>
    <w:multiLevelType w:val="hybridMultilevel"/>
    <w:tmpl w:val="BC50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512670"/>
    <w:multiLevelType w:val="hybridMultilevel"/>
    <w:tmpl w:val="874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7F029F"/>
    <w:multiLevelType w:val="hybridMultilevel"/>
    <w:tmpl w:val="78FC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606FD2"/>
    <w:multiLevelType w:val="hybridMultilevel"/>
    <w:tmpl w:val="4D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927DC6"/>
    <w:multiLevelType w:val="hybridMultilevel"/>
    <w:tmpl w:val="CC3C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nsid w:val="5ECA3FC2"/>
    <w:multiLevelType w:val="hybridMultilevel"/>
    <w:tmpl w:val="76AE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5B110C"/>
    <w:multiLevelType w:val="hybridMultilevel"/>
    <w:tmpl w:val="4F70C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3D61FE"/>
    <w:multiLevelType w:val="hybridMultilevel"/>
    <w:tmpl w:val="17E4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5447E2"/>
    <w:multiLevelType w:val="hybridMultilevel"/>
    <w:tmpl w:val="F1A4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4C34137"/>
    <w:multiLevelType w:val="hybridMultilevel"/>
    <w:tmpl w:val="35EE5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695011"/>
    <w:multiLevelType w:val="hybridMultilevel"/>
    <w:tmpl w:val="9FB68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1E2915"/>
    <w:multiLevelType w:val="hybridMultilevel"/>
    <w:tmpl w:val="7764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413971"/>
    <w:multiLevelType w:val="hybridMultilevel"/>
    <w:tmpl w:val="D812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0"/>
  </w:num>
  <w:num w:numId="4">
    <w:abstractNumId w:val="30"/>
  </w:num>
  <w:num w:numId="5">
    <w:abstractNumId w:val="6"/>
  </w:num>
  <w:num w:numId="6">
    <w:abstractNumId w:val="19"/>
  </w:num>
  <w:num w:numId="7">
    <w:abstractNumId w:val="29"/>
  </w:num>
  <w:num w:numId="8">
    <w:abstractNumId w:val="14"/>
  </w:num>
  <w:num w:numId="9">
    <w:abstractNumId w:val="25"/>
  </w:num>
  <w:num w:numId="10">
    <w:abstractNumId w:val="32"/>
  </w:num>
  <w:num w:numId="11">
    <w:abstractNumId w:val="28"/>
  </w:num>
  <w:num w:numId="12">
    <w:abstractNumId w:val="8"/>
  </w:num>
  <w:num w:numId="13">
    <w:abstractNumId w:val="24"/>
  </w:num>
  <w:num w:numId="14">
    <w:abstractNumId w:val="9"/>
  </w:num>
  <w:num w:numId="15">
    <w:abstractNumId w:val="21"/>
  </w:num>
  <w:num w:numId="16">
    <w:abstractNumId w:val="17"/>
  </w:num>
  <w:num w:numId="17">
    <w:abstractNumId w:val="20"/>
  </w:num>
  <w:num w:numId="18">
    <w:abstractNumId w:val="22"/>
  </w:num>
  <w:num w:numId="19">
    <w:abstractNumId w:val="7"/>
  </w:num>
  <w:num w:numId="20">
    <w:abstractNumId w:val="23"/>
  </w:num>
  <w:num w:numId="21">
    <w:abstractNumId w:val="1"/>
  </w:num>
  <w:num w:numId="22">
    <w:abstractNumId w:val="2"/>
  </w:num>
  <w:num w:numId="23">
    <w:abstractNumId w:val="16"/>
  </w:num>
  <w:num w:numId="24">
    <w:abstractNumId w:val="33"/>
  </w:num>
  <w:num w:numId="25">
    <w:abstractNumId w:val="10"/>
  </w:num>
  <w:num w:numId="26">
    <w:abstractNumId w:val="27"/>
  </w:num>
  <w:num w:numId="27">
    <w:abstractNumId w:val="4"/>
  </w:num>
  <w:num w:numId="28">
    <w:abstractNumId w:val="11"/>
  </w:num>
  <w:num w:numId="29">
    <w:abstractNumId w:val="31"/>
  </w:num>
  <w:num w:numId="30">
    <w:abstractNumId w:val="5"/>
  </w:num>
  <w:num w:numId="31">
    <w:abstractNumId w:val="3"/>
  </w:num>
  <w:num w:numId="32">
    <w:abstractNumId w:val="34"/>
  </w:num>
  <w:num w:numId="33">
    <w:abstractNumId w:val="13"/>
  </w:num>
  <w:num w:numId="34">
    <w:abstractNumId w:val="18"/>
  </w:num>
  <w:num w:numId="3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66B"/>
    <w:rsid w:val="0001295F"/>
    <w:rsid w:val="000136F0"/>
    <w:rsid w:val="000253BD"/>
    <w:rsid w:val="00027123"/>
    <w:rsid w:val="00030480"/>
    <w:rsid w:val="00033F0C"/>
    <w:rsid w:val="00034E2E"/>
    <w:rsid w:val="000352AD"/>
    <w:rsid w:val="00040DA1"/>
    <w:rsid w:val="0004109A"/>
    <w:rsid w:val="00041AC9"/>
    <w:rsid w:val="00045C03"/>
    <w:rsid w:val="00052533"/>
    <w:rsid w:val="00053468"/>
    <w:rsid w:val="00061A0B"/>
    <w:rsid w:val="00062C43"/>
    <w:rsid w:val="00066285"/>
    <w:rsid w:val="000675DA"/>
    <w:rsid w:val="00070433"/>
    <w:rsid w:val="00070C4D"/>
    <w:rsid w:val="000747A9"/>
    <w:rsid w:val="00075A6B"/>
    <w:rsid w:val="000801D7"/>
    <w:rsid w:val="00081166"/>
    <w:rsid w:val="00085C81"/>
    <w:rsid w:val="00085F1F"/>
    <w:rsid w:val="00086323"/>
    <w:rsid w:val="000867FD"/>
    <w:rsid w:val="0008690A"/>
    <w:rsid w:val="00087315"/>
    <w:rsid w:val="00091108"/>
    <w:rsid w:val="00095511"/>
    <w:rsid w:val="00095E33"/>
    <w:rsid w:val="00096B04"/>
    <w:rsid w:val="000A29DB"/>
    <w:rsid w:val="000B42FB"/>
    <w:rsid w:val="000C17FF"/>
    <w:rsid w:val="000D04F5"/>
    <w:rsid w:val="000D0ABB"/>
    <w:rsid w:val="000D10F8"/>
    <w:rsid w:val="000D31E8"/>
    <w:rsid w:val="000D432C"/>
    <w:rsid w:val="000E074C"/>
    <w:rsid w:val="000E11B4"/>
    <w:rsid w:val="000E128C"/>
    <w:rsid w:val="000E6A4B"/>
    <w:rsid w:val="000F4723"/>
    <w:rsid w:val="000F5235"/>
    <w:rsid w:val="001005E0"/>
    <w:rsid w:val="00101028"/>
    <w:rsid w:val="001014CC"/>
    <w:rsid w:val="00102FA5"/>
    <w:rsid w:val="00114B1D"/>
    <w:rsid w:val="00115803"/>
    <w:rsid w:val="0011798A"/>
    <w:rsid w:val="00121160"/>
    <w:rsid w:val="00125B03"/>
    <w:rsid w:val="001347C5"/>
    <w:rsid w:val="00136D0A"/>
    <w:rsid w:val="00137CE5"/>
    <w:rsid w:val="00150996"/>
    <w:rsid w:val="00150F54"/>
    <w:rsid w:val="00155462"/>
    <w:rsid w:val="00157D52"/>
    <w:rsid w:val="00164232"/>
    <w:rsid w:val="00171E6D"/>
    <w:rsid w:val="00177F60"/>
    <w:rsid w:val="00180BB1"/>
    <w:rsid w:val="00181B94"/>
    <w:rsid w:val="001842B1"/>
    <w:rsid w:val="00184418"/>
    <w:rsid w:val="00186651"/>
    <w:rsid w:val="00187EE5"/>
    <w:rsid w:val="00190E4B"/>
    <w:rsid w:val="0019230D"/>
    <w:rsid w:val="001924C0"/>
    <w:rsid w:val="001926B6"/>
    <w:rsid w:val="0019404D"/>
    <w:rsid w:val="001A04F5"/>
    <w:rsid w:val="001A348C"/>
    <w:rsid w:val="001A5E23"/>
    <w:rsid w:val="001A6C6D"/>
    <w:rsid w:val="001B2446"/>
    <w:rsid w:val="001B4B1E"/>
    <w:rsid w:val="001B509A"/>
    <w:rsid w:val="001B60AA"/>
    <w:rsid w:val="001C0086"/>
    <w:rsid w:val="001C5427"/>
    <w:rsid w:val="001C6FE6"/>
    <w:rsid w:val="001D20F7"/>
    <w:rsid w:val="001D2B08"/>
    <w:rsid w:val="001D69FA"/>
    <w:rsid w:val="001D7CB9"/>
    <w:rsid w:val="001E2A0E"/>
    <w:rsid w:val="001E4060"/>
    <w:rsid w:val="001E4B8E"/>
    <w:rsid w:val="001F56D0"/>
    <w:rsid w:val="00203066"/>
    <w:rsid w:val="00203981"/>
    <w:rsid w:val="00213315"/>
    <w:rsid w:val="00217325"/>
    <w:rsid w:val="002203FA"/>
    <w:rsid w:val="002307B7"/>
    <w:rsid w:val="00235968"/>
    <w:rsid w:val="00237524"/>
    <w:rsid w:val="00237778"/>
    <w:rsid w:val="00240FA6"/>
    <w:rsid w:val="002425FC"/>
    <w:rsid w:val="002441D0"/>
    <w:rsid w:val="0024766A"/>
    <w:rsid w:val="0025245D"/>
    <w:rsid w:val="002529FF"/>
    <w:rsid w:val="00260BFA"/>
    <w:rsid w:val="00262EB5"/>
    <w:rsid w:val="00266DE7"/>
    <w:rsid w:val="00266E14"/>
    <w:rsid w:val="002707F1"/>
    <w:rsid w:val="00283727"/>
    <w:rsid w:val="002859EE"/>
    <w:rsid w:val="00286036"/>
    <w:rsid w:val="002A45F9"/>
    <w:rsid w:val="002A55DF"/>
    <w:rsid w:val="002A7D6D"/>
    <w:rsid w:val="002B1243"/>
    <w:rsid w:val="002B4E4D"/>
    <w:rsid w:val="002B4F65"/>
    <w:rsid w:val="002B74D5"/>
    <w:rsid w:val="002C320F"/>
    <w:rsid w:val="002C3520"/>
    <w:rsid w:val="002C54C6"/>
    <w:rsid w:val="002C750D"/>
    <w:rsid w:val="002D1751"/>
    <w:rsid w:val="002D189E"/>
    <w:rsid w:val="002D44A1"/>
    <w:rsid w:val="002D46F6"/>
    <w:rsid w:val="002E3600"/>
    <w:rsid w:val="002E420C"/>
    <w:rsid w:val="002F16DF"/>
    <w:rsid w:val="00313B39"/>
    <w:rsid w:val="00320F22"/>
    <w:rsid w:val="00324BDF"/>
    <w:rsid w:val="0032681E"/>
    <w:rsid w:val="003332EC"/>
    <w:rsid w:val="003546A0"/>
    <w:rsid w:val="00355D5B"/>
    <w:rsid w:val="00367416"/>
    <w:rsid w:val="00384229"/>
    <w:rsid w:val="00385FBB"/>
    <w:rsid w:val="0039228E"/>
    <w:rsid w:val="00397DA8"/>
    <w:rsid w:val="00397ED1"/>
    <w:rsid w:val="003A08A5"/>
    <w:rsid w:val="003A0EA4"/>
    <w:rsid w:val="003A3B10"/>
    <w:rsid w:val="003B2F6C"/>
    <w:rsid w:val="003B66B3"/>
    <w:rsid w:val="003C0BF7"/>
    <w:rsid w:val="003C4E4A"/>
    <w:rsid w:val="003D17A6"/>
    <w:rsid w:val="003D2194"/>
    <w:rsid w:val="003D28DE"/>
    <w:rsid w:val="003D2974"/>
    <w:rsid w:val="003D5B11"/>
    <w:rsid w:val="003D70EB"/>
    <w:rsid w:val="003E7E7D"/>
    <w:rsid w:val="003F32F9"/>
    <w:rsid w:val="003F6027"/>
    <w:rsid w:val="003F63E7"/>
    <w:rsid w:val="003F6462"/>
    <w:rsid w:val="00401B85"/>
    <w:rsid w:val="00402ED1"/>
    <w:rsid w:val="0041011A"/>
    <w:rsid w:val="004115FB"/>
    <w:rsid w:val="0042473B"/>
    <w:rsid w:val="00424D69"/>
    <w:rsid w:val="004256D8"/>
    <w:rsid w:val="00426E76"/>
    <w:rsid w:val="0043031A"/>
    <w:rsid w:val="00433969"/>
    <w:rsid w:val="00433A06"/>
    <w:rsid w:val="00434FD1"/>
    <w:rsid w:val="0044695B"/>
    <w:rsid w:val="00450187"/>
    <w:rsid w:val="00452E7B"/>
    <w:rsid w:val="00456AD6"/>
    <w:rsid w:val="00460D78"/>
    <w:rsid w:val="0046258E"/>
    <w:rsid w:val="004626BB"/>
    <w:rsid w:val="00466C8D"/>
    <w:rsid w:val="004676E5"/>
    <w:rsid w:val="00470515"/>
    <w:rsid w:val="00474E9E"/>
    <w:rsid w:val="00477011"/>
    <w:rsid w:val="004856CC"/>
    <w:rsid w:val="00486796"/>
    <w:rsid w:val="00493E19"/>
    <w:rsid w:val="004954AC"/>
    <w:rsid w:val="00497E72"/>
    <w:rsid w:val="004A0BA5"/>
    <w:rsid w:val="004A37E3"/>
    <w:rsid w:val="004A7884"/>
    <w:rsid w:val="004B0630"/>
    <w:rsid w:val="004B2107"/>
    <w:rsid w:val="004C25DB"/>
    <w:rsid w:val="004C749A"/>
    <w:rsid w:val="004D2AA3"/>
    <w:rsid w:val="004D59FA"/>
    <w:rsid w:val="004D601D"/>
    <w:rsid w:val="004D6AE4"/>
    <w:rsid w:val="004D744D"/>
    <w:rsid w:val="004E23C4"/>
    <w:rsid w:val="004E2B57"/>
    <w:rsid w:val="004E30C0"/>
    <w:rsid w:val="004E321C"/>
    <w:rsid w:val="004E538C"/>
    <w:rsid w:val="004E57AC"/>
    <w:rsid w:val="004F1A77"/>
    <w:rsid w:val="004F3689"/>
    <w:rsid w:val="005017B0"/>
    <w:rsid w:val="00505B68"/>
    <w:rsid w:val="005104BC"/>
    <w:rsid w:val="0051230E"/>
    <w:rsid w:val="0051749E"/>
    <w:rsid w:val="00521093"/>
    <w:rsid w:val="00523DBF"/>
    <w:rsid w:val="00523F81"/>
    <w:rsid w:val="005322E1"/>
    <w:rsid w:val="00532A28"/>
    <w:rsid w:val="005367E2"/>
    <w:rsid w:val="005403D3"/>
    <w:rsid w:val="00545C54"/>
    <w:rsid w:val="00546239"/>
    <w:rsid w:val="005470E7"/>
    <w:rsid w:val="005518C4"/>
    <w:rsid w:val="00554691"/>
    <w:rsid w:val="00555B55"/>
    <w:rsid w:val="0056593E"/>
    <w:rsid w:val="00567B5F"/>
    <w:rsid w:val="00573CCA"/>
    <w:rsid w:val="00574EAF"/>
    <w:rsid w:val="005760E7"/>
    <w:rsid w:val="00577863"/>
    <w:rsid w:val="0058099A"/>
    <w:rsid w:val="0058157F"/>
    <w:rsid w:val="00581E15"/>
    <w:rsid w:val="005844CE"/>
    <w:rsid w:val="0058547E"/>
    <w:rsid w:val="00594E72"/>
    <w:rsid w:val="00595B1D"/>
    <w:rsid w:val="005A18BB"/>
    <w:rsid w:val="005A2829"/>
    <w:rsid w:val="005A28F6"/>
    <w:rsid w:val="005B035C"/>
    <w:rsid w:val="005B05A9"/>
    <w:rsid w:val="005B08F4"/>
    <w:rsid w:val="005B0BAA"/>
    <w:rsid w:val="005B4BC2"/>
    <w:rsid w:val="005C03D0"/>
    <w:rsid w:val="005C3598"/>
    <w:rsid w:val="005C46B7"/>
    <w:rsid w:val="005C50AA"/>
    <w:rsid w:val="005D4826"/>
    <w:rsid w:val="005E0D2F"/>
    <w:rsid w:val="005E68DC"/>
    <w:rsid w:val="005E7915"/>
    <w:rsid w:val="005F392F"/>
    <w:rsid w:val="00601B41"/>
    <w:rsid w:val="00602329"/>
    <w:rsid w:val="0061364A"/>
    <w:rsid w:val="006145BD"/>
    <w:rsid w:val="0061508F"/>
    <w:rsid w:val="00617CB8"/>
    <w:rsid w:val="00621C91"/>
    <w:rsid w:val="00625777"/>
    <w:rsid w:val="0062651B"/>
    <w:rsid w:val="00630E3B"/>
    <w:rsid w:val="00636088"/>
    <w:rsid w:val="00642C48"/>
    <w:rsid w:val="006433CE"/>
    <w:rsid w:val="0064591F"/>
    <w:rsid w:val="006461CE"/>
    <w:rsid w:val="006536B5"/>
    <w:rsid w:val="0065475A"/>
    <w:rsid w:val="00656AA4"/>
    <w:rsid w:val="00660EDB"/>
    <w:rsid w:val="006612C1"/>
    <w:rsid w:val="0066404E"/>
    <w:rsid w:val="00666304"/>
    <w:rsid w:val="00672D66"/>
    <w:rsid w:val="0067559E"/>
    <w:rsid w:val="00676815"/>
    <w:rsid w:val="0067720F"/>
    <w:rsid w:val="00680A5F"/>
    <w:rsid w:val="00684BE6"/>
    <w:rsid w:val="0068644C"/>
    <w:rsid w:val="00686D2F"/>
    <w:rsid w:val="006925E2"/>
    <w:rsid w:val="006A7B73"/>
    <w:rsid w:val="006B1D27"/>
    <w:rsid w:val="006B24D1"/>
    <w:rsid w:val="006C124C"/>
    <w:rsid w:val="006D54A5"/>
    <w:rsid w:val="006E0EFC"/>
    <w:rsid w:val="006F0530"/>
    <w:rsid w:val="006F082A"/>
    <w:rsid w:val="006F140D"/>
    <w:rsid w:val="006F3831"/>
    <w:rsid w:val="006F58A7"/>
    <w:rsid w:val="00700B8C"/>
    <w:rsid w:val="007019FB"/>
    <w:rsid w:val="00704347"/>
    <w:rsid w:val="0070599E"/>
    <w:rsid w:val="00710BD2"/>
    <w:rsid w:val="00711452"/>
    <w:rsid w:val="00711FB0"/>
    <w:rsid w:val="007123C6"/>
    <w:rsid w:val="007158F7"/>
    <w:rsid w:val="00721CBB"/>
    <w:rsid w:val="007223BB"/>
    <w:rsid w:val="00725E20"/>
    <w:rsid w:val="00727C42"/>
    <w:rsid w:val="007304B7"/>
    <w:rsid w:val="007327E8"/>
    <w:rsid w:val="0073424A"/>
    <w:rsid w:val="00747736"/>
    <w:rsid w:val="007514E6"/>
    <w:rsid w:val="00751F75"/>
    <w:rsid w:val="007522C9"/>
    <w:rsid w:val="0075326A"/>
    <w:rsid w:val="007536CF"/>
    <w:rsid w:val="00754136"/>
    <w:rsid w:val="00757D53"/>
    <w:rsid w:val="00757F83"/>
    <w:rsid w:val="007617E9"/>
    <w:rsid w:val="00767638"/>
    <w:rsid w:val="00767AB5"/>
    <w:rsid w:val="00772319"/>
    <w:rsid w:val="0077239A"/>
    <w:rsid w:val="007739A8"/>
    <w:rsid w:val="00774FD5"/>
    <w:rsid w:val="00786A19"/>
    <w:rsid w:val="007903CE"/>
    <w:rsid w:val="0079276F"/>
    <w:rsid w:val="00794E95"/>
    <w:rsid w:val="00795A2D"/>
    <w:rsid w:val="007A16A8"/>
    <w:rsid w:val="007A202A"/>
    <w:rsid w:val="007A41F8"/>
    <w:rsid w:val="007B190F"/>
    <w:rsid w:val="007B1D78"/>
    <w:rsid w:val="007B4738"/>
    <w:rsid w:val="007B6842"/>
    <w:rsid w:val="007C0334"/>
    <w:rsid w:val="007C7A78"/>
    <w:rsid w:val="007D12B7"/>
    <w:rsid w:val="007D212F"/>
    <w:rsid w:val="007D383D"/>
    <w:rsid w:val="007D47B3"/>
    <w:rsid w:val="007E03AF"/>
    <w:rsid w:val="007F0399"/>
    <w:rsid w:val="007F1E43"/>
    <w:rsid w:val="007F39A5"/>
    <w:rsid w:val="007F6654"/>
    <w:rsid w:val="007F6BF2"/>
    <w:rsid w:val="00801673"/>
    <w:rsid w:val="00803138"/>
    <w:rsid w:val="0080396A"/>
    <w:rsid w:val="00803EC4"/>
    <w:rsid w:val="00807CD7"/>
    <w:rsid w:val="008130CD"/>
    <w:rsid w:val="00820DF9"/>
    <w:rsid w:val="00825247"/>
    <w:rsid w:val="008271F5"/>
    <w:rsid w:val="008365CC"/>
    <w:rsid w:val="00837894"/>
    <w:rsid w:val="008406A4"/>
    <w:rsid w:val="00842F7B"/>
    <w:rsid w:val="00845C03"/>
    <w:rsid w:val="008515F3"/>
    <w:rsid w:val="00852843"/>
    <w:rsid w:val="008538BA"/>
    <w:rsid w:val="00855BEA"/>
    <w:rsid w:val="0086108E"/>
    <w:rsid w:val="00861684"/>
    <w:rsid w:val="00861EEB"/>
    <w:rsid w:val="00862562"/>
    <w:rsid w:val="008709F4"/>
    <w:rsid w:val="00872BB4"/>
    <w:rsid w:val="00872D12"/>
    <w:rsid w:val="00876423"/>
    <w:rsid w:val="00877132"/>
    <w:rsid w:val="00891986"/>
    <w:rsid w:val="00891FA0"/>
    <w:rsid w:val="00894B22"/>
    <w:rsid w:val="008A6ED6"/>
    <w:rsid w:val="008B009C"/>
    <w:rsid w:val="008B7726"/>
    <w:rsid w:val="008C413A"/>
    <w:rsid w:val="008D6897"/>
    <w:rsid w:val="008D72F1"/>
    <w:rsid w:val="008E0DF8"/>
    <w:rsid w:val="008E1FC9"/>
    <w:rsid w:val="008F4449"/>
    <w:rsid w:val="008F5EFB"/>
    <w:rsid w:val="00900251"/>
    <w:rsid w:val="009007AF"/>
    <w:rsid w:val="0090528E"/>
    <w:rsid w:val="009059D6"/>
    <w:rsid w:val="00905F34"/>
    <w:rsid w:val="00906356"/>
    <w:rsid w:val="00906421"/>
    <w:rsid w:val="00913180"/>
    <w:rsid w:val="009161E9"/>
    <w:rsid w:val="009206AC"/>
    <w:rsid w:val="00921886"/>
    <w:rsid w:val="00924692"/>
    <w:rsid w:val="00930825"/>
    <w:rsid w:val="00946CE8"/>
    <w:rsid w:val="0094756A"/>
    <w:rsid w:val="00954F05"/>
    <w:rsid w:val="00960207"/>
    <w:rsid w:val="00961EBC"/>
    <w:rsid w:val="0096383E"/>
    <w:rsid w:val="00964F9E"/>
    <w:rsid w:val="00972B00"/>
    <w:rsid w:val="00973254"/>
    <w:rsid w:val="00974335"/>
    <w:rsid w:val="009743AB"/>
    <w:rsid w:val="00974922"/>
    <w:rsid w:val="00974E18"/>
    <w:rsid w:val="00975031"/>
    <w:rsid w:val="0097698A"/>
    <w:rsid w:val="009805D8"/>
    <w:rsid w:val="00981A60"/>
    <w:rsid w:val="00981C2F"/>
    <w:rsid w:val="00982437"/>
    <w:rsid w:val="00984CFF"/>
    <w:rsid w:val="009868C3"/>
    <w:rsid w:val="00986F87"/>
    <w:rsid w:val="009907CF"/>
    <w:rsid w:val="00993A2A"/>
    <w:rsid w:val="0099524B"/>
    <w:rsid w:val="009A1AD0"/>
    <w:rsid w:val="009A43A2"/>
    <w:rsid w:val="009A5893"/>
    <w:rsid w:val="009A6322"/>
    <w:rsid w:val="009A69A5"/>
    <w:rsid w:val="009A72CE"/>
    <w:rsid w:val="009A7D82"/>
    <w:rsid w:val="009B033F"/>
    <w:rsid w:val="009B2DA0"/>
    <w:rsid w:val="009C0C3D"/>
    <w:rsid w:val="009C1378"/>
    <w:rsid w:val="009C5618"/>
    <w:rsid w:val="009C5D1D"/>
    <w:rsid w:val="009D6261"/>
    <w:rsid w:val="009E1AEA"/>
    <w:rsid w:val="009E7926"/>
    <w:rsid w:val="009F2AA0"/>
    <w:rsid w:val="009F6138"/>
    <w:rsid w:val="009F6EE8"/>
    <w:rsid w:val="009F72A8"/>
    <w:rsid w:val="00A01275"/>
    <w:rsid w:val="00A031D9"/>
    <w:rsid w:val="00A05271"/>
    <w:rsid w:val="00A132C1"/>
    <w:rsid w:val="00A135E0"/>
    <w:rsid w:val="00A175BE"/>
    <w:rsid w:val="00A20821"/>
    <w:rsid w:val="00A2142B"/>
    <w:rsid w:val="00A43770"/>
    <w:rsid w:val="00A45968"/>
    <w:rsid w:val="00A45EA5"/>
    <w:rsid w:val="00A5266E"/>
    <w:rsid w:val="00A52CB5"/>
    <w:rsid w:val="00A57B9A"/>
    <w:rsid w:val="00A600F2"/>
    <w:rsid w:val="00A664F1"/>
    <w:rsid w:val="00A729BC"/>
    <w:rsid w:val="00A74226"/>
    <w:rsid w:val="00A77D79"/>
    <w:rsid w:val="00A8184D"/>
    <w:rsid w:val="00A82AAA"/>
    <w:rsid w:val="00A82C9F"/>
    <w:rsid w:val="00A8331B"/>
    <w:rsid w:val="00A84455"/>
    <w:rsid w:val="00A84866"/>
    <w:rsid w:val="00A84C40"/>
    <w:rsid w:val="00A85301"/>
    <w:rsid w:val="00A944D3"/>
    <w:rsid w:val="00A958C1"/>
    <w:rsid w:val="00AA3CD7"/>
    <w:rsid w:val="00AA58A1"/>
    <w:rsid w:val="00AA58EC"/>
    <w:rsid w:val="00AA7A1B"/>
    <w:rsid w:val="00AA7A31"/>
    <w:rsid w:val="00AA7DD1"/>
    <w:rsid w:val="00AB0518"/>
    <w:rsid w:val="00AC0898"/>
    <w:rsid w:val="00AC5FB2"/>
    <w:rsid w:val="00AD2F63"/>
    <w:rsid w:val="00AE0B57"/>
    <w:rsid w:val="00AE4C05"/>
    <w:rsid w:val="00AE5EBE"/>
    <w:rsid w:val="00AE71D9"/>
    <w:rsid w:val="00AF2C24"/>
    <w:rsid w:val="00AF67FA"/>
    <w:rsid w:val="00B012E3"/>
    <w:rsid w:val="00B16E3C"/>
    <w:rsid w:val="00B21296"/>
    <w:rsid w:val="00B24E42"/>
    <w:rsid w:val="00B379AA"/>
    <w:rsid w:val="00B4021E"/>
    <w:rsid w:val="00B40C51"/>
    <w:rsid w:val="00B440A2"/>
    <w:rsid w:val="00B44171"/>
    <w:rsid w:val="00B52880"/>
    <w:rsid w:val="00B53C4B"/>
    <w:rsid w:val="00B53CB3"/>
    <w:rsid w:val="00B53E72"/>
    <w:rsid w:val="00B6369C"/>
    <w:rsid w:val="00B659B5"/>
    <w:rsid w:val="00B701F4"/>
    <w:rsid w:val="00B702F8"/>
    <w:rsid w:val="00B80105"/>
    <w:rsid w:val="00B81988"/>
    <w:rsid w:val="00B849F2"/>
    <w:rsid w:val="00B87368"/>
    <w:rsid w:val="00B946E0"/>
    <w:rsid w:val="00B95931"/>
    <w:rsid w:val="00B9605C"/>
    <w:rsid w:val="00BA00CA"/>
    <w:rsid w:val="00BA69D8"/>
    <w:rsid w:val="00BB02C7"/>
    <w:rsid w:val="00BB05CC"/>
    <w:rsid w:val="00BB22E5"/>
    <w:rsid w:val="00BC143F"/>
    <w:rsid w:val="00BC2663"/>
    <w:rsid w:val="00BC65F9"/>
    <w:rsid w:val="00BD12A0"/>
    <w:rsid w:val="00BD3D23"/>
    <w:rsid w:val="00BD558E"/>
    <w:rsid w:val="00BE0655"/>
    <w:rsid w:val="00BE2A28"/>
    <w:rsid w:val="00BE4D26"/>
    <w:rsid w:val="00BE5B9E"/>
    <w:rsid w:val="00BE7901"/>
    <w:rsid w:val="00BF087A"/>
    <w:rsid w:val="00BF4CD3"/>
    <w:rsid w:val="00C01DD2"/>
    <w:rsid w:val="00C05269"/>
    <w:rsid w:val="00C16243"/>
    <w:rsid w:val="00C163E7"/>
    <w:rsid w:val="00C219FA"/>
    <w:rsid w:val="00C21D2A"/>
    <w:rsid w:val="00C238D3"/>
    <w:rsid w:val="00C256B5"/>
    <w:rsid w:val="00C2603B"/>
    <w:rsid w:val="00C325A1"/>
    <w:rsid w:val="00C34C31"/>
    <w:rsid w:val="00C34E71"/>
    <w:rsid w:val="00C369D7"/>
    <w:rsid w:val="00C4299A"/>
    <w:rsid w:val="00C51D72"/>
    <w:rsid w:val="00C5228C"/>
    <w:rsid w:val="00C52742"/>
    <w:rsid w:val="00C53CBA"/>
    <w:rsid w:val="00C55FEE"/>
    <w:rsid w:val="00C57459"/>
    <w:rsid w:val="00C57CE4"/>
    <w:rsid w:val="00C6154F"/>
    <w:rsid w:val="00C63450"/>
    <w:rsid w:val="00C64ED8"/>
    <w:rsid w:val="00C6764F"/>
    <w:rsid w:val="00C678DD"/>
    <w:rsid w:val="00C724BC"/>
    <w:rsid w:val="00C73303"/>
    <w:rsid w:val="00C83C55"/>
    <w:rsid w:val="00C84938"/>
    <w:rsid w:val="00C942F8"/>
    <w:rsid w:val="00C96D94"/>
    <w:rsid w:val="00CA0601"/>
    <w:rsid w:val="00CA06B6"/>
    <w:rsid w:val="00CA37C7"/>
    <w:rsid w:val="00CA4044"/>
    <w:rsid w:val="00CA7592"/>
    <w:rsid w:val="00CB00B3"/>
    <w:rsid w:val="00CB700B"/>
    <w:rsid w:val="00CC5AA1"/>
    <w:rsid w:val="00CC666E"/>
    <w:rsid w:val="00CD0238"/>
    <w:rsid w:val="00CD0245"/>
    <w:rsid w:val="00CD14A2"/>
    <w:rsid w:val="00CD26B8"/>
    <w:rsid w:val="00CD3978"/>
    <w:rsid w:val="00CD498A"/>
    <w:rsid w:val="00CD4B28"/>
    <w:rsid w:val="00CE00B7"/>
    <w:rsid w:val="00CE1C7E"/>
    <w:rsid w:val="00CE418E"/>
    <w:rsid w:val="00CE6047"/>
    <w:rsid w:val="00CE694E"/>
    <w:rsid w:val="00CE7D4D"/>
    <w:rsid w:val="00CF0056"/>
    <w:rsid w:val="00CF062E"/>
    <w:rsid w:val="00CF14F3"/>
    <w:rsid w:val="00D0072F"/>
    <w:rsid w:val="00D04FA1"/>
    <w:rsid w:val="00D10A2E"/>
    <w:rsid w:val="00D12E95"/>
    <w:rsid w:val="00D31702"/>
    <w:rsid w:val="00D32CA1"/>
    <w:rsid w:val="00D32FB7"/>
    <w:rsid w:val="00D35D3C"/>
    <w:rsid w:val="00D413AD"/>
    <w:rsid w:val="00D41D51"/>
    <w:rsid w:val="00D4532F"/>
    <w:rsid w:val="00D539D2"/>
    <w:rsid w:val="00D620C6"/>
    <w:rsid w:val="00D62316"/>
    <w:rsid w:val="00D635E0"/>
    <w:rsid w:val="00D6466E"/>
    <w:rsid w:val="00D6617A"/>
    <w:rsid w:val="00D714C6"/>
    <w:rsid w:val="00D72110"/>
    <w:rsid w:val="00D73494"/>
    <w:rsid w:val="00D73D3C"/>
    <w:rsid w:val="00D81924"/>
    <w:rsid w:val="00D85368"/>
    <w:rsid w:val="00D9129C"/>
    <w:rsid w:val="00D93B12"/>
    <w:rsid w:val="00D96983"/>
    <w:rsid w:val="00DA0534"/>
    <w:rsid w:val="00DA12D5"/>
    <w:rsid w:val="00DA1518"/>
    <w:rsid w:val="00DA3DE7"/>
    <w:rsid w:val="00DA459C"/>
    <w:rsid w:val="00DA7A98"/>
    <w:rsid w:val="00DB01A8"/>
    <w:rsid w:val="00DC2435"/>
    <w:rsid w:val="00DC68AF"/>
    <w:rsid w:val="00DD25E1"/>
    <w:rsid w:val="00DD2EA7"/>
    <w:rsid w:val="00DD6263"/>
    <w:rsid w:val="00DE26C9"/>
    <w:rsid w:val="00DE5FDF"/>
    <w:rsid w:val="00DE6B53"/>
    <w:rsid w:val="00DE7741"/>
    <w:rsid w:val="00DF01F9"/>
    <w:rsid w:val="00DF10C6"/>
    <w:rsid w:val="00DF160E"/>
    <w:rsid w:val="00DF30F9"/>
    <w:rsid w:val="00DF44FD"/>
    <w:rsid w:val="00E004CE"/>
    <w:rsid w:val="00E00713"/>
    <w:rsid w:val="00E01352"/>
    <w:rsid w:val="00E06128"/>
    <w:rsid w:val="00E06D79"/>
    <w:rsid w:val="00E075F6"/>
    <w:rsid w:val="00E13F33"/>
    <w:rsid w:val="00E148A9"/>
    <w:rsid w:val="00E21804"/>
    <w:rsid w:val="00E24350"/>
    <w:rsid w:val="00E243B0"/>
    <w:rsid w:val="00E25B32"/>
    <w:rsid w:val="00E25E0F"/>
    <w:rsid w:val="00E3328D"/>
    <w:rsid w:val="00E420D6"/>
    <w:rsid w:val="00E46518"/>
    <w:rsid w:val="00E55CCD"/>
    <w:rsid w:val="00E564D1"/>
    <w:rsid w:val="00E57921"/>
    <w:rsid w:val="00E622A9"/>
    <w:rsid w:val="00E6344E"/>
    <w:rsid w:val="00E6417B"/>
    <w:rsid w:val="00E6422D"/>
    <w:rsid w:val="00E67A82"/>
    <w:rsid w:val="00E7493D"/>
    <w:rsid w:val="00E75554"/>
    <w:rsid w:val="00E835EB"/>
    <w:rsid w:val="00E855DD"/>
    <w:rsid w:val="00E87A9E"/>
    <w:rsid w:val="00E951DB"/>
    <w:rsid w:val="00EA4DE7"/>
    <w:rsid w:val="00EA616B"/>
    <w:rsid w:val="00EB23BE"/>
    <w:rsid w:val="00EB57A8"/>
    <w:rsid w:val="00ED37EA"/>
    <w:rsid w:val="00ED6710"/>
    <w:rsid w:val="00EE20C0"/>
    <w:rsid w:val="00EE6156"/>
    <w:rsid w:val="00EF1576"/>
    <w:rsid w:val="00EF4BF4"/>
    <w:rsid w:val="00EF549B"/>
    <w:rsid w:val="00EF6436"/>
    <w:rsid w:val="00F00751"/>
    <w:rsid w:val="00F02B88"/>
    <w:rsid w:val="00F06D40"/>
    <w:rsid w:val="00F1367D"/>
    <w:rsid w:val="00F23193"/>
    <w:rsid w:val="00F249E8"/>
    <w:rsid w:val="00F26821"/>
    <w:rsid w:val="00F36133"/>
    <w:rsid w:val="00F378DE"/>
    <w:rsid w:val="00F4085F"/>
    <w:rsid w:val="00F42736"/>
    <w:rsid w:val="00F44654"/>
    <w:rsid w:val="00F56775"/>
    <w:rsid w:val="00F6618A"/>
    <w:rsid w:val="00F710DB"/>
    <w:rsid w:val="00F818FC"/>
    <w:rsid w:val="00F81ECB"/>
    <w:rsid w:val="00F86019"/>
    <w:rsid w:val="00F87B3A"/>
    <w:rsid w:val="00F9016A"/>
    <w:rsid w:val="00F9337E"/>
    <w:rsid w:val="00F93B42"/>
    <w:rsid w:val="00F9740C"/>
    <w:rsid w:val="00FA19C8"/>
    <w:rsid w:val="00FA3BA8"/>
    <w:rsid w:val="00FA640E"/>
    <w:rsid w:val="00FA6BA2"/>
    <w:rsid w:val="00FB0F31"/>
    <w:rsid w:val="00FB1403"/>
    <w:rsid w:val="00FB3DF1"/>
    <w:rsid w:val="00FB3E3C"/>
    <w:rsid w:val="00FC09D3"/>
    <w:rsid w:val="00FC14C3"/>
    <w:rsid w:val="00FC270D"/>
    <w:rsid w:val="00FC5C81"/>
    <w:rsid w:val="00FD00ED"/>
    <w:rsid w:val="00FD24B5"/>
    <w:rsid w:val="00FD3B16"/>
    <w:rsid w:val="00FD4DB3"/>
    <w:rsid w:val="00FE3B6B"/>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5-TPVHIi39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store.aqa.org.uk/resources/science/AQA-GCSE-SCIENCE-EXAMPRO-UG.PPT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youtube.com/watch?v=yvyHVA1Ww_M" TargetMode="External"/><Relationship Id="rId4" Type="http://schemas.microsoft.com/office/2007/relationships/stylesWithEffects" Target="stylesWithEffects.xml"/><Relationship Id="rId9" Type="http://schemas.openxmlformats.org/officeDocument/2006/relationships/hyperlink" Target="http://www.bbc.co.uk/education/clips/zy886sg"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967D-A916-40DE-B91C-92B19853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D95C51A4.dotm</Template>
  <TotalTime>1</TotalTime>
  <Pages>5</Pages>
  <Words>841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Chemistry – Energy changes</dc:title>
  <dc:creator>AQA</dc:creator>
  <cp:lastPrinted>2015-08-05T08:50:00Z</cp:lastPrinted>
  <dcterms:created xsi:type="dcterms:W3CDTF">2016-10-24T10:31:00Z</dcterms:created>
  <dcterms:modified xsi:type="dcterms:W3CDTF">2019-09-23T08:17:00Z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